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jc w:val="center"/>
        <w:rPr>
          <w:color w:val="2B2B2B"/>
          <w:sz w:val="32"/>
          <w:szCs w:val="32"/>
        </w:rPr>
      </w:pPr>
      <w:r>
        <w:rPr>
          <w:rStyle w:val="13"/>
          <w:rFonts w:hint="eastAsia"/>
          <w:color w:val="2B2B2B"/>
          <w:sz w:val="28"/>
          <w:szCs w:val="28"/>
        </w:rPr>
        <w:t>　　</w:t>
      </w:r>
      <w:r>
        <w:rPr>
          <w:rStyle w:val="13"/>
          <w:rFonts w:hint="eastAsia"/>
          <w:color w:val="2B2B2B"/>
          <w:sz w:val="32"/>
          <w:szCs w:val="32"/>
        </w:rPr>
        <w:t>目   录</w:t>
      </w:r>
    </w:p>
    <w:p>
      <w:pPr>
        <w:pStyle w:val="9"/>
        <w:spacing w:before="0" w:beforeAutospacing="0" w:after="0" w:afterAutospacing="0"/>
        <w:ind w:firstLine="560" w:firstLineChars="200"/>
        <w:rPr>
          <w:rFonts w:hint="eastAsia"/>
          <w:color w:val="2B2B2B"/>
          <w:sz w:val="28"/>
          <w:szCs w:val="28"/>
        </w:rPr>
      </w:pP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山东旅游职业学院差旅费管理办法…………………………………2</w:t>
      </w: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山东旅游职业学院会议费管理实施细则……………………………11</w:t>
      </w: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山东旅游职业学院培训费管理实施细则……………………………15</w:t>
      </w: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山东旅游职业学院因公临时出国经费管理实施细则………………20</w:t>
      </w: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山东旅游职业学院因公短期出国培训费用管理实施细则…………33</w:t>
      </w: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山东旅游职业学院外宾接待经费管理实施细则……………………40</w:t>
      </w: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山东旅游职业学院公务卡报销结算暂行办法………………………44</w:t>
      </w:r>
    </w:p>
    <w:p>
      <w:pPr>
        <w:spacing w:line="360" w:lineRule="auto"/>
        <w:rPr>
          <w:rFonts w:hint="eastAsia" w:ascii="宋体" w:hAnsi="宋体"/>
        </w:rPr>
      </w:pPr>
      <w:r>
        <w:rPr>
          <w:rFonts w:hint="eastAsia" w:ascii="宋体" w:hAnsi="宋体" w:cs="宋体"/>
          <w:color w:val="2B2B2B"/>
          <w:kern w:val="0"/>
          <w:sz w:val="28"/>
          <w:szCs w:val="28"/>
        </w:rPr>
        <w:t>关于印发《山东旅游职业学院工作人员差旅住宿费标准明细表》的通知</w:t>
      </w:r>
      <w:r>
        <w:rPr>
          <w:rFonts w:hint="eastAsia" w:ascii="宋体" w:hAnsi="宋体"/>
          <w:color w:val="2B2B2B"/>
          <w:sz w:val="28"/>
          <w:szCs w:val="28"/>
        </w:rPr>
        <w:t>………………………………………………………………………50</w:t>
      </w:r>
    </w:p>
    <w:p>
      <w:pPr>
        <w:pStyle w:val="9"/>
        <w:spacing w:before="0" w:beforeAutospacing="0" w:after="0" w:afterAutospacing="0"/>
        <w:ind w:left="-2" w:leftChars="-1"/>
        <w:rPr>
          <w:rFonts w:hint="eastAsia"/>
          <w:color w:val="2B2B2B"/>
          <w:sz w:val="28"/>
          <w:szCs w:val="28"/>
        </w:rPr>
      </w:pPr>
      <w:r>
        <w:rPr>
          <w:rFonts w:hint="eastAsia"/>
          <w:color w:val="2B2B2B"/>
          <w:sz w:val="28"/>
          <w:szCs w:val="28"/>
        </w:rPr>
        <w:t>关于进一步规范差旅费报销事宜的通知……………………………55</w:t>
      </w: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山东旅游职业学院财务管理办法……………………………………56</w:t>
      </w: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山东旅游职业学院预算管理办法……………………………………69</w:t>
      </w: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山东旅游职业学院经济合同管理暂行办法…………………………79</w:t>
      </w: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山东旅游职业学院经费审批管理规定………………………………87</w:t>
      </w:r>
    </w:p>
    <w:p>
      <w:pPr>
        <w:pStyle w:val="9"/>
        <w:spacing w:before="0" w:beforeAutospacing="0" w:after="0" w:afterAutospacing="0"/>
        <w:ind w:left="-2" w:leftChars="-1"/>
        <w:rPr>
          <w:rFonts w:hint="eastAsia"/>
          <w:color w:val="2B2B2B"/>
          <w:sz w:val="28"/>
          <w:szCs w:val="28"/>
        </w:rPr>
      </w:pPr>
      <w:r>
        <w:rPr>
          <w:rFonts w:hint="eastAsia"/>
          <w:color w:val="2B2B2B"/>
          <w:sz w:val="28"/>
          <w:szCs w:val="28"/>
        </w:rPr>
        <w:t>山东旅游职业学院财务票据报销须知………………………………94</w:t>
      </w:r>
    </w:p>
    <w:p>
      <w:pPr>
        <w:pStyle w:val="9"/>
        <w:spacing w:before="0" w:beforeAutospacing="0" w:after="0" w:afterAutospacing="0"/>
        <w:ind w:left="-2" w:leftChars="-1"/>
        <w:rPr>
          <w:rFonts w:hint="eastAsia"/>
          <w:color w:val="2B2B2B"/>
          <w:sz w:val="28"/>
          <w:szCs w:val="28"/>
        </w:rPr>
      </w:pPr>
      <w:r>
        <w:rPr>
          <w:rFonts w:hint="eastAsia"/>
          <w:color w:val="2B2B2B"/>
          <w:sz w:val="28"/>
          <w:szCs w:val="28"/>
        </w:rPr>
        <w:t>财政违法行为处罚处分条例…………………………………………96</w:t>
      </w:r>
    </w:p>
    <w:p>
      <w:pPr>
        <w:pStyle w:val="9"/>
        <w:spacing w:before="0" w:beforeAutospacing="0" w:after="0" w:afterAutospacing="0"/>
        <w:ind w:firstLine="560" w:firstLineChars="200"/>
        <w:jc w:val="center"/>
        <w:rPr>
          <w:color w:val="2B2B2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color w:val="2B2B2B"/>
          <w:sz w:val="28"/>
          <w:szCs w:val="28"/>
        </w:rPr>
        <w:t>　</w:t>
      </w:r>
    </w:p>
    <w:p>
      <w:pPr>
        <w:pStyle w:val="9"/>
        <w:spacing w:before="0" w:beforeAutospacing="0" w:after="0" w:afterAutospacing="0"/>
        <w:jc w:val="center"/>
        <w:rPr>
          <w:rStyle w:val="13"/>
          <w:rFonts w:hint="eastAsia" w:ascii="方正小标宋简体" w:hAnsi="方正小标宋简体" w:eastAsia="方正小标宋简体" w:cs="方正小标宋简体"/>
          <w:color w:val="2B2B2B"/>
          <w:sz w:val="44"/>
          <w:szCs w:val="44"/>
        </w:rPr>
      </w:pPr>
      <w:r>
        <w:rPr>
          <w:rStyle w:val="13"/>
          <w:rFonts w:hint="eastAsia" w:ascii="方正小标宋简体" w:hAnsi="方正小标宋简体" w:eastAsia="方正小标宋简体" w:cs="方正小标宋简体"/>
          <w:color w:val="2B2B2B"/>
          <w:sz w:val="44"/>
          <w:szCs w:val="44"/>
        </w:rPr>
        <w:t>山东旅游职业学院</w:t>
      </w:r>
    </w:p>
    <w:p>
      <w:pPr>
        <w:pStyle w:val="9"/>
        <w:spacing w:before="0" w:beforeAutospacing="0" w:after="0" w:afterAutospacing="0"/>
        <w:jc w:val="center"/>
        <w:rPr>
          <w:rFonts w:hint="eastAsia" w:ascii="方正小标宋简体" w:hAnsi="方正小标宋简体" w:eastAsia="方正小标宋简体" w:cs="方正小标宋简体"/>
          <w:color w:val="2B2B2B"/>
          <w:sz w:val="44"/>
          <w:szCs w:val="44"/>
        </w:rPr>
      </w:pPr>
      <w:r>
        <w:rPr>
          <w:rStyle w:val="13"/>
          <w:rFonts w:hint="eastAsia" w:ascii="方正小标宋简体" w:hAnsi="方正小标宋简体" w:eastAsia="方正小标宋简体" w:cs="方正小标宋简体"/>
          <w:color w:val="2B2B2B"/>
          <w:sz w:val="44"/>
          <w:szCs w:val="44"/>
        </w:rPr>
        <w:t>差旅费管理办法</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第一章 总 则</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第一条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为加强和规范国内差旅费管理，推进厉行节约反对浪费，根据中央和省委、省政府关于党政机关厉行节约反对浪费的有关规定，参照《山东省省直机关差旅费管理办法》（鲁财行【2014】4号），结合学院实际，制定本办法。</w:t>
      </w:r>
    </w:p>
    <w:p>
      <w:pPr>
        <w:pStyle w:val="9"/>
        <w:spacing w:before="0" w:beforeAutospacing="0" w:after="0" w:afterAutospacing="0"/>
        <w:ind w:firstLine="640" w:firstLineChars="200"/>
        <w:rPr>
          <w:rFonts w:hint="eastAsia"/>
          <w:color w:val="2B2B2B"/>
          <w:sz w:val="28"/>
          <w:szCs w:val="28"/>
        </w:rPr>
      </w:pPr>
      <w:r>
        <w:rPr>
          <w:rFonts w:hint="eastAsia" w:ascii="方正楷体_GB2312" w:hAnsi="方正楷体_GB2312" w:eastAsia="方正楷体_GB2312" w:cs="方正楷体_GB2312"/>
          <w:color w:val="2B2B2B"/>
          <w:sz w:val="32"/>
          <w:szCs w:val="32"/>
        </w:rPr>
        <w:t>第二条</w:t>
      </w:r>
      <w:r>
        <w:rPr>
          <w:rFonts w:hint="eastAsia" w:ascii="方正仿宋_GB2312" w:hAnsi="方正仿宋_GB2312" w:eastAsia="方正仿宋_GB2312" w:cs="方正仿宋_GB2312"/>
          <w:color w:val="2B2B2B"/>
          <w:sz w:val="32"/>
          <w:szCs w:val="32"/>
        </w:rPr>
        <w:t xml:space="preserve"> 本办法适用于学院各部门、学院下属各单位。</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第三条</w:t>
      </w:r>
      <w:r>
        <w:rPr>
          <w:rFonts w:hint="eastAsia"/>
          <w:color w:val="2B2B2B"/>
          <w:sz w:val="32"/>
          <w:szCs w:val="32"/>
        </w:rPr>
        <w:t xml:space="preserve"> </w:t>
      </w:r>
      <w:r>
        <w:rPr>
          <w:rFonts w:hint="eastAsia"/>
          <w:color w:val="2B2B2B"/>
          <w:sz w:val="28"/>
          <w:szCs w:val="28"/>
        </w:rPr>
        <w:t>差</w:t>
      </w:r>
      <w:r>
        <w:rPr>
          <w:rFonts w:hint="eastAsia" w:ascii="方正仿宋_GB2312" w:hAnsi="方正仿宋_GB2312" w:eastAsia="方正仿宋_GB2312" w:cs="方正仿宋_GB2312"/>
          <w:color w:val="2B2B2B"/>
          <w:sz w:val="32"/>
          <w:szCs w:val="32"/>
        </w:rPr>
        <w:t>旅费是指学院工作人员临时到济南市区（不包括济南各县、市，下同）和学院驻地以外地区公务出差所发生的城市间交通费、住宿费、伙食补助费和市内交通费。</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 xml:space="preserve">第四条 </w:t>
      </w:r>
      <w:r>
        <w:rPr>
          <w:rFonts w:hint="eastAsia"/>
          <w:color w:val="2B2B2B"/>
          <w:sz w:val="28"/>
          <w:szCs w:val="28"/>
        </w:rPr>
        <w:t>出</w:t>
      </w:r>
      <w:r>
        <w:rPr>
          <w:rFonts w:hint="eastAsia" w:ascii="方正仿宋_GB2312" w:hAnsi="方正仿宋_GB2312" w:eastAsia="方正仿宋_GB2312" w:cs="方正仿宋_GB2312"/>
          <w:color w:val="2B2B2B"/>
          <w:sz w:val="32"/>
          <w:szCs w:val="32"/>
        </w:rPr>
        <w:t>差必须按规定进行申请、审批管理。工作人员因公外出，必须提前办理出差审批手续，领取《出差审批单》，持会议、培训等文件或通知，按规定程序经部门负责人、院分管负责人、负责人审批。由行政职能部门统一安排的公务出差，在部门负责人签批后，须经相应的行政职能部门签批，再履行其它程序。院领导副职出差须报经主要负责人批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各部门要严格履行出差审批制度，从严控制出差人数和天数；严格差旅费预算管理，控制差旅费支出规模；严禁无实际内容、无明确公务目的的差旅活动，严禁以任何名义和方式变相旅游，严禁异地部门间无实质内容的学习交流和考察调研；异地部门间公务活动通过学院办公室按规定安排。</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第五条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参</w:t>
      </w:r>
      <w:r>
        <w:rPr>
          <w:rFonts w:hint="eastAsia" w:ascii="方正仿宋_GB2312" w:hAnsi="方正仿宋_GB2312" w:eastAsia="方正仿宋_GB2312" w:cs="方正仿宋_GB2312"/>
          <w:color w:val="2B2B2B"/>
          <w:sz w:val="32"/>
          <w:szCs w:val="32"/>
        </w:rPr>
        <w:t>照省财政厅按照分地区、分级别、分项目的原则制定差旅费标准。</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第二章 城市间交通费</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第六条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城市间交通费是指工作人员因公到济南市区以外地区出差乘坐火车、轮船、飞机等交通工具所发生的费用。</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第七条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出差人员应当按规定等级乘坐交通工具。乘坐交通工具的等级见下表：</w:t>
      </w:r>
    </w:p>
    <w:tbl>
      <w:tblPr>
        <w:tblStyle w:val="10"/>
        <w:tblW w:w="82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1800"/>
        <w:gridCol w:w="1440"/>
        <w:gridCol w:w="94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0" w:hRule="atLeast"/>
        </w:trPr>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exact"/>
              <w:jc w:val="left"/>
              <w:rPr>
                <w:rFonts w:hint="eastAsia" w:ascii="宋体" w:hAnsi="宋体" w:cs="宋体"/>
                <w:kern w:val="0"/>
                <w:sz w:val="28"/>
                <w:szCs w:val="28"/>
              </w:rPr>
            </w:pPr>
            <w:r>
              <w:rPr>
                <w:rFonts w:hint="eastAsia" w:ascii="宋体" w:hAnsi="宋体" w:cs="宋体"/>
                <w:kern w:val="0"/>
                <w:sz w:val="28"/>
                <w:szCs w:val="28"/>
              </w:rPr>
              <mc:AlternateContent>
                <mc:Choice Requires="wpg">
                  <w:drawing>
                    <wp:anchor distT="0" distB="0" distL="114300" distR="114300" simplePos="0" relativeHeight="251659264" behindDoc="0" locked="0" layoutInCell="1" allowOverlap="1">
                      <wp:simplePos x="0" y="0"/>
                      <wp:positionH relativeFrom="column">
                        <wp:posOffset>-51435</wp:posOffset>
                      </wp:positionH>
                      <wp:positionV relativeFrom="paragraph">
                        <wp:posOffset>23495</wp:posOffset>
                      </wp:positionV>
                      <wp:extent cx="1628775" cy="782955"/>
                      <wp:effectExtent l="3175" t="4445" r="6350" b="12700"/>
                      <wp:wrapNone/>
                      <wp:docPr id="11" name="__TH_G42小五35"/>
                      <wp:cNvGraphicFramePr/>
                      <a:graphic xmlns:a="http://schemas.openxmlformats.org/drawingml/2006/main">
                        <a:graphicData uri="http://schemas.microsoft.com/office/word/2010/wordprocessingGroup">
                          <wpg:wgp>
                            <wpg:cNvGrpSpPr/>
                            <wpg:grpSpPr>
                              <a:xfrm>
                                <a:off x="0" y="0"/>
                                <a:ext cx="1628775" cy="782955"/>
                                <a:chOff x="1697" y="2074"/>
                                <a:chExt cx="2623" cy="1238"/>
                              </a:xfrm>
                            </wpg:grpSpPr>
                            <wps:wsp>
                              <wps:cNvPr id="1" name="__TH_L23"/>
                              <wps:cNvSpPr/>
                              <wps:spPr>
                                <a:xfrm>
                                  <a:off x="1697" y="2074"/>
                                  <a:ext cx="2623" cy="1238"/>
                                </a:xfrm>
                                <a:prstGeom prst="line">
                                  <a:avLst/>
                                </a:prstGeom>
                                <a:ln w="6350" cap="flat" cmpd="sng">
                                  <a:solidFill>
                                    <a:srgbClr val="000000"/>
                                  </a:solidFill>
                                  <a:prstDash val="solid"/>
                                  <a:headEnd type="none" w="med" len="med"/>
                                  <a:tailEnd type="none" w="med" len="med"/>
                                </a:ln>
                              </wps:spPr>
                              <wps:bodyPr upright="1"/>
                            </wps:wsp>
                            <wps:wsp>
                              <wps:cNvPr id="2" name="__TH_L24"/>
                              <wps:cNvSpPr/>
                              <wps:spPr>
                                <a:xfrm>
                                  <a:off x="1697" y="2074"/>
                                  <a:ext cx="1312" cy="1238"/>
                                </a:xfrm>
                                <a:prstGeom prst="line">
                                  <a:avLst/>
                                </a:prstGeom>
                                <a:ln w="6350" cap="flat" cmpd="sng">
                                  <a:solidFill>
                                    <a:srgbClr val="000000"/>
                                  </a:solidFill>
                                  <a:prstDash val="solid"/>
                                  <a:headEnd type="none" w="med" len="med"/>
                                  <a:tailEnd type="none" w="med" len="med"/>
                                </a:ln>
                              </wps:spPr>
                              <wps:bodyPr upright="1"/>
                            </wps:wsp>
                            <wps:wsp>
                              <wps:cNvPr id="3" name="__TH_B1125"/>
                              <wps:cNvSpPr txBox="1"/>
                              <wps:spPr>
                                <a:xfrm>
                                  <a:off x="2329" y="2112"/>
                                  <a:ext cx="211" cy="222"/>
                                </a:xfrm>
                                <a:prstGeom prst="rect">
                                  <a:avLst/>
                                </a:prstGeom>
                                <a:noFill/>
                                <a:ln>
                                  <a:noFill/>
                                </a:ln>
                              </wps:spPr>
                              <wps:txbx>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交</w:t>
                                          </w:r>
                                        </w:p>
                                      </w:tc>
                                    </w:tr>
                                  </w:tbl>
                                  <w:p/>
                                </w:txbxContent>
                              </wps:txbx>
                              <wps:bodyPr wrap="square" lIns="0" tIns="0" rIns="0" bIns="0" upright="1"/>
                            </wps:wsp>
                            <wps:wsp>
                              <wps:cNvPr id="4" name="__TH_B1226"/>
                              <wps:cNvSpPr txBox="1"/>
                              <wps:spPr>
                                <a:xfrm>
                                  <a:off x="2838" y="2231"/>
                                  <a:ext cx="211" cy="223"/>
                                </a:xfrm>
                                <a:prstGeom prst="rect">
                                  <a:avLst/>
                                </a:prstGeom>
                                <a:noFill/>
                                <a:ln>
                                  <a:noFill/>
                                </a:ln>
                              </wps:spPr>
                              <wps:txbx>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通</w:t>
                                          </w:r>
                                        </w:p>
                                      </w:tc>
                                    </w:tr>
                                  </w:tbl>
                                  <w:p/>
                                </w:txbxContent>
                              </wps:txbx>
                              <wps:bodyPr wrap="square" lIns="0" tIns="0" rIns="0" bIns="0" upright="1"/>
                            </wps:wsp>
                            <wps:wsp>
                              <wps:cNvPr id="5" name="__TH_B1327"/>
                              <wps:cNvSpPr txBox="1"/>
                              <wps:spPr>
                                <a:xfrm>
                                  <a:off x="3346" y="2351"/>
                                  <a:ext cx="211" cy="223"/>
                                </a:xfrm>
                                <a:prstGeom prst="rect">
                                  <a:avLst/>
                                </a:prstGeom>
                                <a:noFill/>
                                <a:ln>
                                  <a:noFill/>
                                </a:ln>
                              </wps:spPr>
                              <wps:txbx>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工</w:t>
                                          </w:r>
                                        </w:p>
                                      </w:tc>
                                    </w:tr>
                                  </w:tbl>
                                  <w:p/>
                                </w:txbxContent>
                              </wps:txbx>
                              <wps:bodyPr wrap="square" lIns="0" tIns="0" rIns="0" bIns="0" upright="1"/>
                            </wps:wsp>
                            <wps:wsp>
                              <wps:cNvPr id="6" name="__TH_B1428"/>
                              <wps:cNvSpPr txBox="1"/>
                              <wps:spPr>
                                <a:xfrm>
                                  <a:off x="3855" y="2472"/>
                                  <a:ext cx="211" cy="223"/>
                                </a:xfrm>
                                <a:prstGeom prst="rect">
                                  <a:avLst/>
                                </a:prstGeom>
                                <a:noFill/>
                                <a:ln>
                                  <a:noFill/>
                                </a:ln>
                              </wps:spPr>
                              <wps:txbx>
                                <w:txbxContent>
                                  <w:tbl>
                                    <w:tblPr>
                                      <w:tblStyle w:val="10"/>
                                      <w:tblW w:w="5000" w:type="pct"/>
                                      <w:tblCellSpacing w:w="0" w:type="dxa"/>
                                      <w:tblInd w:w="0" w:type="dxa"/>
                                      <w:tblLayout w:type="autofit"/>
                                      <w:tblCellMar>
                                        <w:top w:w="0" w:type="dxa"/>
                                        <w:left w:w="0" w:type="dxa"/>
                                        <w:bottom w:w="0" w:type="dxa"/>
                                        <w:right w:w="0" w:type="dxa"/>
                                      </w:tblCellMar>
                                    </w:tblPr>
                                    <w:tblGrid>
                                      <w:gridCol w:w="207"/>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具</w:t>
                                          </w:r>
                                        </w:p>
                                      </w:tc>
                                    </w:tr>
                                  </w:tbl>
                                  <w:p/>
                                </w:txbxContent>
                              </wps:txbx>
                              <wps:bodyPr wrap="square" lIns="0" tIns="0" rIns="0" bIns="0" upright="1"/>
                            </wps:wsp>
                            <wps:wsp>
                              <wps:cNvPr id="7" name="__TH_B2129"/>
                              <wps:cNvSpPr txBox="1"/>
                              <wps:spPr>
                                <a:xfrm>
                                  <a:off x="2639" y="2589"/>
                                  <a:ext cx="211" cy="223"/>
                                </a:xfrm>
                                <a:prstGeom prst="rect">
                                  <a:avLst/>
                                </a:prstGeom>
                                <a:noFill/>
                                <a:ln>
                                  <a:noFill/>
                                </a:ln>
                              </wps:spPr>
                              <wps:txbx>
                                <w:txbxContent>
                                  <w:tbl>
                                    <w:tblPr>
                                      <w:tblStyle w:val="10"/>
                                      <w:tblW w:w="5000" w:type="pct"/>
                                      <w:tblCellSpacing w:w="0" w:type="dxa"/>
                                      <w:tblInd w:w="0" w:type="dxa"/>
                                      <w:tblLayout w:type="autofit"/>
                                      <w:tblCellMar>
                                        <w:top w:w="0" w:type="dxa"/>
                                        <w:left w:w="0" w:type="dxa"/>
                                        <w:bottom w:w="0" w:type="dxa"/>
                                        <w:right w:w="0" w:type="dxa"/>
                                      </w:tblCellMar>
                                    </w:tblPr>
                                    <w:tblGrid>
                                      <w:gridCol w:w="207"/>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等</w:t>
                                          </w:r>
                                        </w:p>
                                      </w:tc>
                                    </w:tr>
                                  </w:tbl>
                                  <w:p/>
                                </w:txbxContent>
                              </wps:txbx>
                              <wps:bodyPr wrap="square" lIns="0" tIns="0" rIns="0" bIns="0" upright="1"/>
                            </wps:wsp>
                            <wps:wsp>
                              <wps:cNvPr id="8" name="__TH_B2230"/>
                              <wps:cNvSpPr txBox="1"/>
                              <wps:spPr>
                                <a:xfrm>
                                  <a:off x="3161" y="2938"/>
                                  <a:ext cx="211" cy="222"/>
                                </a:xfrm>
                                <a:prstGeom prst="rect">
                                  <a:avLst/>
                                </a:prstGeom>
                                <a:noFill/>
                                <a:ln>
                                  <a:noFill/>
                                </a:ln>
                              </wps:spPr>
                              <wps:txbx>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级</w:t>
                                          </w:r>
                                        </w:p>
                                      </w:tc>
                                    </w:tr>
                                  </w:tbl>
                                  <w:p/>
                                </w:txbxContent>
                              </wps:txbx>
                              <wps:bodyPr wrap="square" lIns="0" tIns="0" rIns="0" bIns="0" upright="1"/>
                            </wps:wsp>
                            <wps:wsp>
                              <wps:cNvPr id="9" name="__TH_B3131"/>
                              <wps:cNvSpPr txBox="1"/>
                              <wps:spPr>
                                <a:xfrm>
                                  <a:off x="1927" y="2555"/>
                                  <a:ext cx="211" cy="223"/>
                                </a:xfrm>
                                <a:prstGeom prst="rect">
                                  <a:avLst/>
                                </a:prstGeom>
                                <a:noFill/>
                                <a:ln>
                                  <a:noFill/>
                                </a:ln>
                              </wps:spPr>
                              <wps:txbx>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级</w:t>
                                          </w:r>
                                        </w:p>
                                      </w:tc>
                                    </w:tr>
                                  </w:tbl>
                                  <w:p/>
                                </w:txbxContent>
                              </wps:txbx>
                              <wps:bodyPr wrap="square" lIns="0" tIns="0" rIns="0" bIns="0" upright="1"/>
                            </wps:wsp>
                            <wps:wsp>
                              <wps:cNvPr id="10" name="__TH_B3232"/>
                              <wps:cNvSpPr txBox="1"/>
                              <wps:spPr>
                                <a:xfrm>
                                  <a:off x="2123" y="2926"/>
                                  <a:ext cx="211" cy="223"/>
                                </a:xfrm>
                                <a:prstGeom prst="rect">
                                  <a:avLst/>
                                </a:prstGeom>
                                <a:noFill/>
                                <a:ln>
                                  <a:noFill/>
                                </a:ln>
                              </wps:spPr>
                              <wps:txbx>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别</w:t>
                                          </w:r>
                                        </w:p>
                                      </w:tc>
                                    </w:tr>
                                  </w:tbl>
                                  <w:p/>
                                </w:txbxContent>
                              </wps:txbx>
                              <wps:bodyPr wrap="square" lIns="0" tIns="0" rIns="0" bIns="0" upright="1"/>
                            </wps:wsp>
                          </wpg:wgp>
                        </a:graphicData>
                      </a:graphic>
                    </wp:anchor>
                  </w:drawing>
                </mc:Choice>
                <mc:Fallback>
                  <w:pict>
                    <v:group id="__TH_G42小五35" o:spid="_x0000_s1026" o:spt="203" style="position:absolute;left:0pt;margin-left:-4.05pt;margin-top:1.85pt;height:61.65pt;width:128.25pt;z-index:251659264;mso-width-relative:page;mso-height-relative:page;" coordorigin="1697,2074" coordsize="2623,1238" o:gfxdata="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AeleM82QAAAAgBAAAPAAAAAAAAAAEAIAAAACIAAABkcnMvZG93bnJldi54bWxQ&#10;SwECFAAUAAAACACHTuJAj1Lui74DAAAeFAAADgAAAAAAAAABACAAAAAoAQAAZHJzL2Uyb0RvYy54&#10;bWxQSwUGAAAAAAYABgBZAQAAWAcAAAAA&#10;">
                      <o:lock v:ext="edit" aspectratio="f"/>
                      <v:line id="__TH_L23" o:spid="_x0000_s1026" o:spt="20" style="position:absolute;left:1697;top:2074;height:1238;width:2623;"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24" o:spid="_x0000_s1026" o:spt="20" style="position:absolute;left:1697;top:2074;height:1238;width:1312;"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25" o:spid="_x0000_s1026" o:spt="202" type="#_x0000_t202" style="position:absolute;left:2329;top:2112;height:222;width:211;"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交</w:t>
                                    </w:r>
                                  </w:p>
                                </w:tc>
                              </w:tr>
                            </w:tbl>
                            <w:p/>
                          </w:txbxContent>
                        </v:textbox>
                      </v:shape>
                      <v:shape id="__TH_B1226" o:spid="_x0000_s1026" o:spt="202" type="#_x0000_t202" style="position:absolute;left:2838;top:2231;height:223;width:211;"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通</w:t>
                                    </w:r>
                                  </w:p>
                                </w:tc>
                              </w:tr>
                            </w:tbl>
                            <w:p/>
                          </w:txbxContent>
                        </v:textbox>
                      </v:shape>
                      <v:shape id="__TH_B1327" o:spid="_x0000_s1026" o:spt="202" type="#_x0000_t202" style="position:absolute;left:3346;top:2351;height:223;width:211;"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工</w:t>
                                    </w:r>
                                  </w:p>
                                </w:tc>
                              </w:tr>
                            </w:tbl>
                            <w:p/>
                          </w:txbxContent>
                        </v:textbox>
                      </v:shape>
                      <v:shape id="__TH_B1428" o:spid="_x0000_s1026" o:spt="202" type="#_x0000_t202" style="position:absolute;left:3855;top:2472;height:223;width:21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tbl>
                              <w:tblPr>
                                <w:tblStyle w:val="10"/>
                                <w:tblW w:w="5000" w:type="pct"/>
                                <w:tblCellSpacing w:w="0" w:type="dxa"/>
                                <w:tblInd w:w="0" w:type="dxa"/>
                                <w:tblLayout w:type="autofit"/>
                                <w:tblCellMar>
                                  <w:top w:w="0" w:type="dxa"/>
                                  <w:left w:w="0" w:type="dxa"/>
                                  <w:bottom w:w="0" w:type="dxa"/>
                                  <w:right w:w="0" w:type="dxa"/>
                                </w:tblCellMar>
                              </w:tblPr>
                              <w:tblGrid>
                                <w:gridCol w:w="207"/>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具</w:t>
                                    </w:r>
                                  </w:p>
                                </w:tc>
                              </w:tr>
                            </w:tbl>
                            <w:p/>
                          </w:txbxContent>
                        </v:textbox>
                      </v:shape>
                      <v:shape id="__TH_B2129" o:spid="_x0000_s1026" o:spt="202" type="#_x0000_t202" style="position:absolute;left:2639;top:2589;height:223;width:211;"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tbl>
                              <w:tblPr>
                                <w:tblStyle w:val="10"/>
                                <w:tblW w:w="5000" w:type="pct"/>
                                <w:tblCellSpacing w:w="0" w:type="dxa"/>
                                <w:tblInd w:w="0" w:type="dxa"/>
                                <w:tblLayout w:type="autofit"/>
                                <w:tblCellMar>
                                  <w:top w:w="0" w:type="dxa"/>
                                  <w:left w:w="0" w:type="dxa"/>
                                  <w:bottom w:w="0" w:type="dxa"/>
                                  <w:right w:w="0" w:type="dxa"/>
                                </w:tblCellMar>
                              </w:tblPr>
                              <w:tblGrid>
                                <w:gridCol w:w="207"/>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等</w:t>
                                    </w:r>
                                  </w:p>
                                </w:tc>
                              </w:tr>
                            </w:tbl>
                            <w:p/>
                          </w:txbxContent>
                        </v:textbox>
                      </v:shape>
                      <v:shape id="__TH_B2230" o:spid="_x0000_s1026" o:spt="202" type="#_x0000_t202" style="position:absolute;left:3161;top:2938;height:222;width:211;"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级</w:t>
                                    </w:r>
                                  </w:p>
                                </w:tc>
                              </w:tr>
                            </w:tbl>
                            <w:p/>
                          </w:txbxContent>
                        </v:textbox>
                      </v:shape>
                      <v:shape id="__TH_B3131" o:spid="_x0000_s1026" o:spt="202" type="#_x0000_t202" style="position:absolute;left:1927;top:2555;height:223;width:211;"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级</w:t>
                                    </w:r>
                                  </w:p>
                                </w:tc>
                              </w:tr>
                            </w:tbl>
                            <w:p/>
                          </w:txbxContent>
                        </v:textbox>
                      </v:shape>
                      <v:shape id="__TH_B3232" o:spid="_x0000_s1026" o:spt="202" type="#_x0000_t202" style="position:absolute;left:2123;top:2926;height:223;width:211;"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tbl>
                              <w:tblPr>
                                <w:tblStyle w:val="10"/>
                                <w:tblW w:w="5000" w:type="pct"/>
                                <w:tblCellSpacing w:w="0" w:type="dxa"/>
                                <w:tblInd w:w="0" w:type="dxa"/>
                                <w:tblLayout w:type="autofit"/>
                                <w:tblCellMar>
                                  <w:top w:w="0" w:type="dxa"/>
                                  <w:left w:w="0" w:type="dxa"/>
                                  <w:bottom w:w="0" w:type="dxa"/>
                                  <w:right w:w="0" w:type="dxa"/>
                                </w:tblCellMar>
                              </w:tblPr>
                              <w:tblGrid>
                                <w:gridCol w:w="206"/>
                              </w:tblGrid>
                              <w:tr>
                                <w:tblPrEx>
                                  <w:tblCellMar>
                                    <w:top w:w="0" w:type="dxa"/>
                                    <w:left w:w="0" w:type="dxa"/>
                                    <w:bottom w:w="0" w:type="dxa"/>
                                    <w:right w:w="0" w:type="dxa"/>
                                  </w:tblCellMar>
                                </w:tblPrEx>
                                <w:trPr>
                                  <w:wBefore w:w="0" w:type="auto"/>
                                  <w:tblCellSpacing w:w="0" w:type="dxa"/>
                                </w:trPr>
                                <w:tc>
                                  <w:tcPr>
                                    <w:tcW w:w="0" w:type="auto"/>
                                    <w:tcBorders>
                                      <w:top w:val="nil"/>
                                      <w:left w:val="nil"/>
                                      <w:bottom w:val="nil"/>
                                      <w:right w:val="nil"/>
                                    </w:tcBorders>
                                    <w:shd w:val="clear" w:color="auto" w:fill="auto"/>
                                    <w:noWrap w:val="0"/>
                                    <w:vAlign w:val="center"/>
                                  </w:tcPr>
                                  <w:p>
                                    <w:pPr>
                                      <w:snapToGrid w:val="0"/>
                                      <w:rPr>
                                        <w:rFonts w:ascii="宋体" w:hAnsi="宋体" w:cs="宋体"/>
                                        <w:sz w:val="24"/>
                                        <w:szCs w:val="21"/>
                                      </w:rPr>
                                    </w:pPr>
                                    <w:r>
                                      <w:rPr>
                                        <w:rFonts w:hint="eastAsia"/>
                                        <w:szCs w:val="21"/>
                                      </w:rPr>
                                      <w:t>别</w:t>
                                    </w:r>
                                  </w:p>
                                </w:tc>
                              </w:tr>
                            </w:tbl>
                            <w:p/>
                          </w:txbxContent>
                        </v:textbox>
                      </v:shape>
                    </v:group>
                  </w:pict>
                </mc:Fallback>
              </mc:AlternateContent>
            </w:r>
          </w:p>
        </w:tc>
        <w:tc>
          <w:tcPr>
            <w:tcW w:w="1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火车</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轮船（不包括旅游船）</w:t>
            </w:r>
          </w:p>
        </w:tc>
        <w:tc>
          <w:tcPr>
            <w:tcW w:w="9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飞机</w:t>
            </w:r>
          </w:p>
        </w:tc>
        <w:tc>
          <w:tcPr>
            <w:tcW w:w="15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其他交通工具（不包括出租小汽车）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3" w:hRule="atLeast"/>
        </w:trPr>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厅局级及</w:t>
            </w:r>
          </w:p>
          <w:p>
            <w:pPr>
              <w:widowControl/>
              <w:spacing w:line="360" w:lineRule="exact"/>
              <w:jc w:val="center"/>
              <w:rPr>
                <w:rFonts w:hint="eastAsia" w:ascii="宋体" w:hAnsi="宋体" w:cs="宋体"/>
                <w:kern w:val="0"/>
                <w:szCs w:val="21"/>
              </w:rPr>
            </w:pPr>
            <w:r>
              <w:rPr>
                <w:rFonts w:hint="eastAsia" w:ascii="宋体" w:hAnsi="宋体" w:cs="宋体"/>
                <w:kern w:val="0"/>
                <w:szCs w:val="21"/>
              </w:rPr>
              <w:t>相当职务人员</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软席（软卧、软座）；高铁/动车一等座；全列软席列车一等软座</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二等舱</w:t>
            </w:r>
          </w:p>
        </w:tc>
        <w:tc>
          <w:tcPr>
            <w:tcW w:w="9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经济舱</w:t>
            </w:r>
          </w:p>
        </w:tc>
        <w:tc>
          <w:tcPr>
            <w:tcW w:w="15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凭据报销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9" w:hRule="atLeast"/>
        </w:trPr>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其余人员</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硬席（硬座、硬卧）；高铁/动车二等座；全列软席列车二等软座</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三等舱</w:t>
            </w:r>
          </w:p>
        </w:tc>
        <w:tc>
          <w:tcPr>
            <w:tcW w:w="9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经济舱</w:t>
            </w:r>
          </w:p>
        </w:tc>
        <w:tc>
          <w:tcPr>
            <w:tcW w:w="15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凭据报销</w:t>
            </w:r>
          </w:p>
        </w:tc>
      </w:tr>
    </w:tbl>
    <w:p>
      <w:pPr>
        <w:pStyle w:val="9"/>
        <w:spacing w:before="0" w:beforeAutospacing="0" w:after="0" w:afterAutospacing="0"/>
        <w:ind w:firstLine="640" w:firstLineChars="200"/>
        <w:rPr>
          <w:rFonts w:hint="eastAsia"/>
          <w:color w:val="2B2B2B"/>
          <w:sz w:val="28"/>
          <w:szCs w:val="28"/>
        </w:rPr>
      </w:pPr>
      <w:r>
        <w:rPr>
          <w:rFonts w:hint="eastAsia" w:ascii="方正仿宋_GB2312" w:hAnsi="方正仿宋_GB2312" w:eastAsia="方正仿宋_GB2312" w:cs="方正仿宋_GB2312"/>
          <w:color w:val="2B2B2B"/>
          <w:sz w:val="32"/>
          <w:szCs w:val="32"/>
        </w:rPr>
        <w:t>未按规定等级乘坐交通工具的，超支部分由个人自理</w:t>
      </w:r>
      <w:r>
        <w:rPr>
          <w:rFonts w:hint="eastAsia"/>
          <w:color w:val="2B2B2B"/>
          <w:sz w:val="28"/>
          <w:szCs w:val="28"/>
        </w:rPr>
        <w:t>。</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第八条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到出差目的地有多种交通工具可选择时，出差人员在不影响公务、确保安全的前提下，应当选乘经济便捷的交通工具。高铁沿线目的地，一般应选择高铁出行；旅途时间在5个小时以上的，可以选择乘坐飞机出行。</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第九条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乘坐飞机的，民航发展基金、燃油附加费可以凭据报销。</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第十条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乘坐飞机、火车、轮船等交通工具的，每人次可以购买交通意外保险一份。学院统一购买交通意外保险的，不再重复购买。</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第三章 住宿费</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第十一条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住宿费是指工作人员因公出差期间入住宾馆（包括饭店、招待所，下同）发生的房租费用。</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第十二条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学院工作人员省内出差住宿费参照省财政厅发布的到相关地区出差的住宿费限额标准。（见附件1）。</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省外出差按照省财政厅发布的相关地区出差住宿费限额标准执行（见附件2）。</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第十三</w:t>
      </w:r>
      <w:r>
        <w:rPr>
          <w:rFonts w:hint="eastAsia"/>
          <w:color w:val="2B2B2B"/>
          <w:sz w:val="28"/>
          <w:szCs w:val="28"/>
        </w:rPr>
        <w:t>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学院出差人员住单间或者标准间</w:t>
      </w:r>
      <w:r>
        <w:rPr>
          <w:rFonts w:hint="eastAsia" w:ascii="方正仿宋_GB2312" w:hAnsi="方正仿宋_GB2312" w:eastAsia="方正仿宋_GB2312" w:cs="方正仿宋_GB2312"/>
          <w:color w:val="2B2B2B"/>
          <w:sz w:val="32"/>
          <w:szCs w:val="32"/>
        </w:rPr>
        <w:t>，不得安排套间及以上级别房间。同性偶数人员出差应优先选择标准间。</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第十四条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出差人员应当在职务级别对应的住宿费标准限额内，选择安全、经济、便捷的</w:t>
      </w:r>
      <w:r>
        <w:rPr>
          <w:rFonts w:hint="eastAsia" w:ascii="方正仿宋_GB2312" w:hAnsi="方正仿宋_GB2312" w:eastAsia="方正仿宋_GB2312" w:cs="方正仿宋_GB2312"/>
          <w:color w:val="2B2B2B"/>
          <w:sz w:val="32"/>
          <w:szCs w:val="32"/>
        </w:rPr>
        <w:t>宾馆住宿。</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第四章 伙食补助费</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第十五条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伙食补助费是指对工作人员在因公出差期间给予的伙食补助费用。</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第十六条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伙</w:t>
      </w:r>
      <w:r>
        <w:rPr>
          <w:rFonts w:hint="eastAsia" w:ascii="方正仿宋_GB2312" w:hAnsi="方正仿宋_GB2312" w:eastAsia="方正仿宋_GB2312" w:cs="方正仿宋_GB2312"/>
          <w:color w:val="2B2B2B"/>
          <w:sz w:val="32"/>
          <w:szCs w:val="32"/>
        </w:rPr>
        <w:t>食补助费按照出差自然（日历）天数计算，省内出差每人每天100元包干使用。</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省外出差按照省财政厅发布的相关地区出差伙食补助费标准执行（见附件2）。</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第十七条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出差人员应当自行用餐。凡由接待单位统一安排用餐的，应当向接待单位交纳伙食费，并由接待单位收取人出具收取证明。接待单位收取的伙食费用于抵顶公务接待费开支。</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第五章 市内交通费</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第十八条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市内交通费是指工作人员因公出差期间发生的市内交通费用。</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第十九条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市</w:t>
      </w:r>
      <w:r>
        <w:rPr>
          <w:rFonts w:hint="eastAsia" w:ascii="方正仿宋_GB2312" w:hAnsi="方正仿宋_GB2312" w:eastAsia="方正仿宋_GB2312" w:cs="方正仿宋_GB2312"/>
          <w:color w:val="2B2B2B"/>
          <w:sz w:val="32"/>
          <w:szCs w:val="32"/>
        </w:rPr>
        <w:t>内交通费按照出差自然（日历）天数计算，每人每天80元包干使用。</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 xml:space="preserve">第二十条 </w:t>
      </w:r>
      <w:r>
        <w:rPr>
          <w:rFonts w:hint="eastAsia" w:ascii="方正仿宋_GB2312" w:hAnsi="方正仿宋_GB2312" w:eastAsia="方正仿宋_GB2312" w:cs="方正仿宋_GB2312"/>
          <w:color w:val="2B2B2B"/>
          <w:sz w:val="32"/>
          <w:szCs w:val="32"/>
        </w:rPr>
        <w:t>出差人员由接待单位或者其他单位提供交通工具的，应当向接待单位或者其他单位交纳相关费用，并由接待单位或者其他单位收取人出具收取证明。接待单位或者其他单位收取的交通费用于抵顶交通费开支。</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第六章 报销管理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第二十一条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出</w:t>
      </w:r>
      <w:r>
        <w:rPr>
          <w:rFonts w:hint="eastAsia" w:ascii="方正仿宋_GB2312" w:hAnsi="方正仿宋_GB2312" w:eastAsia="方正仿宋_GB2312" w:cs="方正仿宋_GB2312"/>
          <w:color w:val="2B2B2B"/>
          <w:sz w:val="32"/>
          <w:szCs w:val="32"/>
        </w:rPr>
        <w:t>差人员应当严格按规定开支差旅费，费用由所在单位承担，不得向下级单位、企业或者其他单位转嫁。</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未按规定开支差旅费的，超支部分由个人自理。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第二十二条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出差人员出差结束后应于20日内及时办理报销手续。差旅费报销时应当提供出差审批单（见附件3）、机票、车票、住宿费发票等凭证。</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住宿费、机票支出等按规定用公务卡结算。</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第二十三条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出差人员应当确保报销票据来源合法，内容真实完整、合规，并签字确认；各级签批人员应当严格按规定审核差旅费开支。</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城市间交通费按照乘坐交通工具的等级凭据报销，订票费、经批准发生的签转或退票费、交通意外保险费凭据报销。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住宿费在标准限额之内凭发票据实报销。伙食补助费和市内交通费按规定标准报销。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实际发生住宿而无住宿费发票的，不得报销住宿费，原则上也不得报销城市间交通费、伙食补助费和市内交通费。当天往返济南市区的按规定报销城市间交通费、伙食补助费和市内交通费。乘坐本单位公务用车出差的，不得报销市内交通费。对未经批准的出差以及超范围、超标准开支的费用不予报销。</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第七章 监督管理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第二十四条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各部门、各单位应当加强对本单位工作人员出差活动和经费报销的内控管理，对本部门、本单位出差审批制度、差旅费预算及规模控制负责，各级签批人员对差旅费报销进行审核把关，确保票据来源合法，内容真实完整、合规。对未经批准擅自出差、不按规定开支和报销差旅费的人员进行严肃处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各部门、各单位应当自觉接受监察、审计部门对出差活动及相关经费支出的监督检查。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第二十五条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院纪委、财务审计处会同有关部门对院各部门和所属单位差旅费管理和使用情况进行监督检查，主要内容包括：</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（一）单位出差审批制度是否健全，出差活动是否按规定履行审批手续；</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（二）差旅费开支范围和开支标准是否符合规定；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（三）差旅费报销是否符合规定；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（四）是否向下级单位、企业或其他单位转嫁差旅费；</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（五）差旅费管理和使用的其他情况。</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第二十六条</w:t>
      </w:r>
      <w:r>
        <w:rPr>
          <w:rFonts w:hint="eastAsia"/>
          <w:color w:val="2B2B2B"/>
          <w:sz w:val="28"/>
          <w:szCs w:val="28"/>
        </w:rPr>
        <w:t xml:space="preserve"> 出</w:t>
      </w:r>
      <w:r>
        <w:rPr>
          <w:rFonts w:hint="eastAsia" w:ascii="方正仿宋_GB2312" w:hAnsi="方正仿宋_GB2312" w:eastAsia="方正仿宋_GB2312" w:cs="方正仿宋_GB2312"/>
          <w:color w:val="2B2B2B"/>
          <w:sz w:val="32"/>
          <w:szCs w:val="32"/>
        </w:rPr>
        <w:t>差人员不得向接待单位提出正常公务活动以外的要求，不得在出差期间接受违反规定用公款支付的宴请、游览和非工作需要的参观，不得接受礼品、礼金和土特产品等。</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 xml:space="preserve">第二十七条 </w:t>
      </w:r>
      <w:r>
        <w:rPr>
          <w:rFonts w:hint="eastAsia"/>
          <w:color w:val="2B2B2B"/>
          <w:sz w:val="28"/>
          <w:szCs w:val="28"/>
        </w:rPr>
        <w:t>违</w:t>
      </w:r>
      <w:r>
        <w:rPr>
          <w:rFonts w:hint="eastAsia" w:ascii="方正仿宋_GB2312" w:hAnsi="方正仿宋_GB2312" w:eastAsia="方正仿宋_GB2312" w:cs="方正仿宋_GB2312"/>
          <w:color w:val="2B2B2B"/>
          <w:sz w:val="32"/>
          <w:szCs w:val="32"/>
        </w:rPr>
        <w:t>反本办法规定，有下列行为之一的，依法依规追究相关单位和人员的责任：</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（一）单位无出差审批制度或出差审批控制不严的；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（二）虚报冒领差旅费的；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（三）擅自扩大差旅费开支范围和提高开支标准的；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（四）不按规定向接待单位交纳伙食费和市内交通费的；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（五）不按规定报销差旅费的；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（六）转嫁差旅费的；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（七）其他违反本办法行为的。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有前款所列行为之一的，由院财务审计处会同有关部门责令改正，违规资金予以追回，并视情况予以通报。对直接责任人和相关负责人，报请学院按规定给予行政处分。涉嫌违法的，移送司法机关处理。</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第八章 附 则</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第二十八条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工作人员外出参加会议、培训，举办单位统一安排食宿的，会议、培训期间的食宿费和市内交通费由会议、培训举办单位按规定统一开支；往返会议、培训地点的差旅费按照规定报销。</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第二十九条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到省外或省内县（市、区）及以下基层单位（不含济南市区）实（见）习、工作锻炼、支援工作以及参加各种工作队的人员，在途期间的差旅费按照本办法规定执行。在当地工作期间的差旅费执行驻地规定，费用由驻地单位承担。</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第三十条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工作人员因工作调动所发生的城市间交通费、住宿费和伙食补助费，按差旅费的有关规定执行，由调入单位报销。</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第三十一条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本办法自发布之日起施行。其他有关差旅费管理规定与本办法不一致的，按照本办法执行。</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第三十二条</w:t>
      </w:r>
      <w:r>
        <w:rPr>
          <w:rFonts w:hint="eastAsia"/>
          <w:color w:val="2B2B2B"/>
          <w:sz w:val="28"/>
          <w:szCs w:val="28"/>
        </w:rPr>
        <w:t xml:space="preserve"> </w:t>
      </w:r>
      <w:r>
        <w:rPr>
          <w:rFonts w:hint="eastAsia" w:ascii="方正仿宋_GB2312" w:hAnsi="方正仿宋_GB2312" w:eastAsia="方正仿宋_GB2312" w:cs="方正仿宋_GB2312"/>
          <w:color w:val="2B2B2B"/>
          <w:sz w:val="32"/>
          <w:szCs w:val="32"/>
        </w:rPr>
        <w:t>本办法由财务审计处负责解释。</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附件1.山东省省直机关省内差旅住宿费和伙食补助费标准表</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 xml:space="preserve">     2.山东省省直机关省外差旅住宿费和伙食补助费标准表</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3.山东旅游职业学院出差审批单</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附件：1．山东省省直机关省内差旅住宿费和伙食补助费标准表</w:t>
      </w:r>
    </w:p>
    <w:tbl>
      <w:tblPr>
        <w:tblStyle w:val="10"/>
        <w:tblW w:w="8295" w:type="dxa"/>
        <w:tblInd w:w="93" w:type="dxa"/>
        <w:tblLayout w:type="autofit"/>
        <w:tblCellMar>
          <w:top w:w="0" w:type="dxa"/>
          <w:left w:w="108" w:type="dxa"/>
          <w:bottom w:w="0" w:type="dxa"/>
          <w:right w:w="108" w:type="dxa"/>
        </w:tblCellMar>
      </w:tblPr>
      <w:tblGrid>
        <w:gridCol w:w="1080"/>
        <w:gridCol w:w="2580"/>
        <w:gridCol w:w="2420"/>
        <w:gridCol w:w="2215"/>
      </w:tblGrid>
      <w:tr>
        <w:tblPrEx>
          <w:tblCellMar>
            <w:top w:w="0" w:type="dxa"/>
            <w:left w:w="108" w:type="dxa"/>
            <w:bottom w:w="0" w:type="dxa"/>
            <w:right w:w="108" w:type="dxa"/>
          </w:tblCellMar>
        </w:tblPrEx>
        <w:trPr>
          <w:wBefore w:w="0" w:type="dxa"/>
          <w:wAfter w:w="0" w:type="dxa"/>
          <w:trHeight w:val="375"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地市</w:t>
            </w:r>
          </w:p>
        </w:tc>
        <w:tc>
          <w:tcPr>
            <w:tcW w:w="50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住宿费标准（元/间天）</w:t>
            </w:r>
          </w:p>
        </w:tc>
        <w:tc>
          <w:tcPr>
            <w:tcW w:w="221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伙食补助费标准</w:t>
            </w:r>
          </w:p>
          <w:p>
            <w:pPr>
              <w:widowControl/>
              <w:jc w:val="center"/>
              <w:rPr>
                <w:rFonts w:hint="eastAsia" w:ascii="宋体" w:hAnsi="宋体" w:cs="宋体"/>
                <w:kern w:val="0"/>
                <w:szCs w:val="21"/>
              </w:rPr>
            </w:pPr>
            <w:r>
              <w:rPr>
                <w:rFonts w:hint="eastAsia" w:ascii="宋体" w:hAnsi="宋体" w:cs="宋体"/>
                <w:kern w:val="0"/>
                <w:szCs w:val="21"/>
              </w:rPr>
              <w:t>（元/天 )</w:t>
            </w:r>
          </w:p>
        </w:tc>
      </w:tr>
      <w:tr>
        <w:tblPrEx>
          <w:tblCellMar>
            <w:top w:w="0" w:type="dxa"/>
            <w:left w:w="108" w:type="dxa"/>
            <w:bottom w:w="0" w:type="dxa"/>
            <w:right w:w="108" w:type="dxa"/>
          </w:tblCellMar>
        </w:tblPrEx>
        <w:trPr>
          <w:wBefore w:w="0" w:type="dxa"/>
          <w:wAfter w:w="0" w:type="dxa"/>
          <w:trHeight w:val="1125"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Cs w:val="21"/>
              </w:rPr>
            </w:pPr>
          </w:p>
        </w:tc>
        <w:tc>
          <w:tcPr>
            <w:tcW w:w="25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厅局级</w:t>
            </w:r>
          </w:p>
          <w:p>
            <w:pPr>
              <w:widowControl/>
              <w:jc w:val="center"/>
              <w:rPr>
                <w:rFonts w:hint="eastAsia" w:ascii="宋体" w:hAnsi="宋体" w:cs="宋体"/>
                <w:kern w:val="0"/>
                <w:szCs w:val="21"/>
              </w:rPr>
            </w:pPr>
            <w:r>
              <w:rPr>
                <w:rFonts w:hint="eastAsia" w:ascii="宋体" w:hAnsi="宋体" w:cs="宋体"/>
                <w:kern w:val="0"/>
                <w:szCs w:val="21"/>
              </w:rPr>
              <w:t>（单间或标准间）</w:t>
            </w:r>
          </w:p>
        </w:tc>
        <w:tc>
          <w:tcPr>
            <w:tcW w:w="24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其他人员</w:t>
            </w:r>
          </w:p>
          <w:p>
            <w:pPr>
              <w:widowControl/>
              <w:jc w:val="center"/>
              <w:rPr>
                <w:rFonts w:hint="eastAsia" w:ascii="宋体" w:hAnsi="宋体" w:cs="宋体"/>
                <w:kern w:val="0"/>
                <w:szCs w:val="21"/>
              </w:rPr>
            </w:pPr>
            <w:r>
              <w:rPr>
                <w:rFonts w:hint="eastAsia" w:ascii="宋体" w:hAnsi="宋体" w:cs="宋体"/>
                <w:kern w:val="0"/>
                <w:szCs w:val="21"/>
              </w:rPr>
              <w:t>（单间或标准间）</w:t>
            </w:r>
          </w:p>
        </w:tc>
        <w:tc>
          <w:tcPr>
            <w:tcW w:w="2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济南</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480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330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青岛</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490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340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淄博</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480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330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枣庄</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480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330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东营</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480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330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烟台</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480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330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潍坊</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480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330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济宁</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480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330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泰安</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480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330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威海</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480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330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日照</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480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330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莱芜</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460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310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临沂</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460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310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德州</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460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310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聊城</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460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310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滨州</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460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310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wBefore w:w="0" w:type="dxa"/>
          <w:wAfter w:w="0" w:type="dxa"/>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菏泽</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460</w:t>
            </w:r>
          </w:p>
        </w:tc>
        <w:tc>
          <w:tcPr>
            <w:tcW w:w="2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310</w:t>
            </w:r>
          </w:p>
        </w:tc>
        <w:tc>
          <w:tcPr>
            <w:tcW w:w="22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100</w:t>
            </w:r>
          </w:p>
        </w:tc>
      </w:tr>
    </w:tbl>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2．</w:t>
      </w:r>
      <w:r>
        <w:rPr>
          <w:rFonts w:hint="eastAsia" w:ascii="方正仿宋_GB2312" w:hAnsi="方正仿宋_GB2312" w:eastAsia="方正仿宋_GB2312" w:cs="方正仿宋_GB2312"/>
          <w:color w:val="2B2B2B"/>
          <w:sz w:val="32"/>
          <w:szCs w:val="32"/>
        </w:rPr>
        <w:t>山东省省直机关省外差旅住宿费和伙食补助费标准表</w:t>
      </w:r>
    </w:p>
    <w:tbl>
      <w:tblPr>
        <w:tblStyle w:val="10"/>
        <w:tblW w:w="7890" w:type="dxa"/>
        <w:jc w:val="center"/>
        <w:tblLayout w:type="autofit"/>
        <w:tblCellMar>
          <w:top w:w="0" w:type="dxa"/>
          <w:left w:w="108" w:type="dxa"/>
          <w:bottom w:w="0" w:type="dxa"/>
          <w:right w:w="108" w:type="dxa"/>
        </w:tblCellMar>
      </w:tblPr>
      <w:tblGrid>
        <w:gridCol w:w="1192"/>
        <w:gridCol w:w="1448"/>
        <w:gridCol w:w="1810"/>
        <w:gridCol w:w="1811"/>
        <w:gridCol w:w="1629"/>
        <w:tblGridChange w:id="0">
          <w:tblGrid>
            <w:gridCol w:w="1192"/>
            <w:gridCol w:w="1448"/>
            <w:gridCol w:w="1810"/>
            <w:gridCol w:w="1811"/>
            <w:gridCol w:w="1629"/>
          </w:tblGrid>
        </w:tblGridChange>
      </w:tblGrid>
      <w:tr>
        <w:tblPrEx>
          <w:tblCellMar>
            <w:top w:w="0" w:type="dxa"/>
            <w:left w:w="108" w:type="dxa"/>
            <w:bottom w:w="0" w:type="dxa"/>
            <w:right w:w="108" w:type="dxa"/>
          </w:tblCellMar>
        </w:tblPrEx>
        <w:trPr>
          <w:wBefore w:w="0" w:type="dxa"/>
          <w:wAfter w:w="0" w:type="dxa"/>
          <w:trHeight w:val="292" w:hRule="atLeast"/>
          <w:jc w:val="center"/>
        </w:trPr>
        <w:tc>
          <w:tcPr>
            <w:tcW w:w="11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省份</w:t>
            </w:r>
          </w:p>
        </w:tc>
        <w:tc>
          <w:tcPr>
            <w:tcW w:w="506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住宿费标准（元</w:t>
            </w:r>
            <w:r>
              <w:rPr>
                <w:rFonts w:ascii="宋体" w:hAnsi="宋体" w:cs="宋体"/>
                <w:kern w:val="0"/>
                <w:sz w:val="20"/>
                <w:szCs w:val="20"/>
              </w:rPr>
              <w:t>/每间每天）</w:t>
            </w:r>
          </w:p>
        </w:tc>
        <w:tc>
          <w:tcPr>
            <w:tcW w:w="16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伙食补助费标准（元</w:t>
            </w:r>
            <w:r>
              <w:rPr>
                <w:rFonts w:ascii="宋体" w:hAnsi="宋体" w:cs="宋体"/>
                <w:kern w:val="0"/>
                <w:sz w:val="20"/>
                <w:szCs w:val="20"/>
              </w:rPr>
              <w:t>/每天）</w:t>
            </w:r>
          </w:p>
        </w:tc>
      </w:tr>
      <w:tr>
        <w:tblPrEx>
          <w:tblCellMar>
            <w:top w:w="0" w:type="dxa"/>
            <w:left w:w="108" w:type="dxa"/>
            <w:bottom w:w="0" w:type="dxa"/>
            <w:right w:w="108" w:type="dxa"/>
          </w:tblCellMar>
        </w:tblPrEx>
        <w:trPr>
          <w:wBefore w:w="0" w:type="dxa"/>
          <w:trHeight w:val="492" w:hRule="atLeast"/>
          <w:jc w:val="center"/>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44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省级</w:t>
            </w:r>
            <w:r>
              <w:rPr>
                <w:rFonts w:ascii="宋体" w:hAnsi="宋体" w:cs="宋体"/>
                <w:kern w:val="0"/>
                <w:sz w:val="20"/>
                <w:szCs w:val="20"/>
              </w:rPr>
              <w:t xml:space="preserve">           </w:t>
            </w:r>
            <w:r>
              <w:rPr>
                <w:rFonts w:hint="eastAsia" w:ascii="宋体" w:hAnsi="宋体" w:cs="宋体"/>
                <w:kern w:val="0"/>
                <w:sz w:val="20"/>
                <w:szCs w:val="20"/>
              </w:rPr>
              <w:t>（普通套间）</w:t>
            </w:r>
          </w:p>
        </w:tc>
        <w:tc>
          <w:tcPr>
            <w:tcW w:w="181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厅局级</w:t>
            </w:r>
            <w:r>
              <w:rPr>
                <w:rFonts w:ascii="宋体" w:hAnsi="宋体" w:cs="宋体"/>
                <w:kern w:val="0"/>
                <w:sz w:val="20"/>
                <w:szCs w:val="20"/>
              </w:rPr>
              <w:t xml:space="preserve">            </w:t>
            </w:r>
            <w:r>
              <w:rPr>
                <w:rFonts w:hint="eastAsia" w:ascii="宋体" w:hAnsi="宋体" w:cs="宋体"/>
                <w:kern w:val="0"/>
                <w:sz w:val="20"/>
                <w:szCs w:val="20"/>
              </w:rPr>
              <w:t>（单间或标准间）</w:t>
            </w:r>
          </w:p>
        </w:tc>
        <w:tc>
          <w:tcPr>
            <w:tcW w:w="181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其他人员</w:t>
            </w:r>
            <w:r>
              <w:rPr>
                <w:rFonts w:ascii="宋体" w:hAnsi="宋体" w:cs="宋体"/>
                <w:kern w:val="0"/>
                <w:sz w:val="20"/>
                <w:szCs w:val="20"/>
              </w:rPr>
              <w:t xml:space="preserve">           </w:t>
            </w:r>
            <w:r>
              <w:rPr>
                <w:rFonts w:hint="eastAsia" w:ascii="宋体" w:hAnsi="宋体" w:cs="宋体"/>
                <w:kern w:val="0"/>
                <w:sz w:val="20"/>
                <w:szCs w:val="20"/>
              </w:rPr>
              <w:t>（单间或标准间）</w:t>
            </w:r>
          </w:p>
        </w:tc>
        <w:tc>
          <w:tcPr>
            <w:tcW w:w="16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北京</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350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天津</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450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320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河北</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450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310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山西</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480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310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内蒙古</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460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320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辽宁</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480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大连</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490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340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吉林</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450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310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黑龙江</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450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310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上海</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350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江苏</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490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340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浙江</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490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340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宁波</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450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安徽</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460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310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福建</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480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厦门</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490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340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江西</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470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320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河南</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480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湖北</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480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320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湖南</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450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广东</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490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340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深圳</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350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广西</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470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海南</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350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重庆</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480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四川</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470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320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贵州</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470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320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云南</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480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西藏</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350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陕西</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460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320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甘肃</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470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青海</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350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宁夏</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470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wBefore w:w="0" w:type="dxa"/>
          <w:trHeight w:val="292" w:hRule="atLeast"/>
          <w:jc w:val="center"/>
        </w:trPr>
        <w:tc>
          <w:tcPr>
            <w:tcW w:w="119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新疆</w:t>
            </w:r>
          </w:p>
        </w:tc>
        <w:tc>
          <w:tcPr>
            <w:tcW w:w="144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480</w:t>
            </w:r>
          </w:p>
        </w:tc>
        <w:tc>
          <w:tcPr>
            <w:tcW w:w="18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340</w:t>
            </w:r>
          </w:p>
        </w:tc>
        <w:tc>
          <w:tcPr>
            <w:tcW w:w="16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bl>
    <w:p>
      <w:pPr>
        <w:pStyle w:val="9"/>
        <w:spacing w:before="0" w:beforeAutospacing="0" w:after="0" w:afterAutospacing="0"/>
        <w:rPr>
          <w:rFonts w:hint="eastAsia"/>
          <w:color w:val="2B2B2B"/>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3. 山东旅游职业学院出差审批单</w:t>
      </w:r>
    </w:p>
    <w:p>
      <w:pPr>
        <w:jc w:val="center"/>
        <w:rPr>
          <w:rFonts w:hint="eastAsia" w:ascii="宋体" w:hAnsi="宋体" w:cs="宋体"/>
          <w:b/>
          <w:color w:val="2B2B2B"/>
          <w:kern w:val="0"/>
          <w:sz w:val="32"/>
          <w:szCs w:val="32"/>
        </w:rPr>
      </w:pPr>
      <w:r>
        <w:rPr>
          <w:rFonts w:hint="eastAsia" w:ascii="宋体" w:hAnsi="宋体" w:cs="宋体"/>
          <w:b/>
          <w:color w:val="2B2B2B"/>
          <w:kern w:val="0"/>
          <w:sz w:val="32"/>
          <w:szCs w:val="32"/>
        </w:rPr>
        <w:t>山东旅游职业学院出差审批单</w:t>
      </w:r>
    </w:p>
    <w:tbl>
      <w:tblPr>
        <w:tblStyle w:val="10"/>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2"/>
        <w:gridCol w:w="1548"/>
        <w:gridCol w:w="1410"/>
        <w:gridCol w:w="990"/>
        <w:gridCol w:w="4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1" w:hRule="atLeast"/>
        </w:trPr>
        <w:tc>
          <w:tcPr>
            <w:tcW w:w="1260" w:type="dxa"/>
            <w:tcBorders>
              <w:top w:val="single" w:color="auto" w:sz="12" w:space="0"/>
              <w:left w:val="single" w:color="auto" w:sz="12" w:space="0"/>
            </w:tcBorders>
            <w:noWrap w:val="0"/>
            <w:vAlign w:val="center"/>
          </w:tcPr>
          <w:p>
            <w:pPr>
              <w:adjustRightInd w:val="0"/>
              <w:snapToGrid w:val="0"/>
              <w:spacing w:line="300" w:lineRule="atLeast"/>
              <w:jc w:val="center"/>
              <w:rPr>
                <w:rFonts w:hint="eastAsia" w:ascii="宋体" w:hAnsi="宋体"/>
                <w:color w:val="000000"/>
                <w:sz w:val="24"/>
              </w:rPr>
            </w:pPr>
            <w:r>
              <w:rPr>
                <w:rFonts w:hint="eastAsia" w:ascii="宋体" w:hAnsi="宋体"/>
                <w:color w:val="000000"/>
                <w:sz w:val="24"/>
              </w:rPr>
              <w:t>部门</w:t>
            </w:r>
          </w:p>
        </w:tc>
        <w:tc>
          <w:tcPr>
            <w:tcW w:w="2970" w:type="dxa"/>
            <w:gridSpan w:val="3"/>
            <w:tcBorders>
              <w:top w:val="single" w:color="auto" w:sz="12" w:space="0"/>
            </w:tcBorders>
            <w:noWrap w:val="0"/>
            <w:vAlign w:val="center"/>
          </w:tcPr>
          <w:p>
            <w:pPr>
              <w:adjustRightInd w:val="0"/>
              <w:snapToGrid w:val="0"/>
              <w:spacing w:line="300" w:lineRule="atLeast"/>
              <w:jc w:val="center"/>
              <w:rPr>
                <w:rFonts w:hint="eastAsia" w:ascii="宋体" w:hAnsi="宋体"/>
                <w:color w:val="000000"/>
                <w:sz w:val="24"/>
              </w:rPr>
            </w:pPr>
          </w:p>
        </w:tc>
        <w:tc>
          <w:tcPr>
            <w:tcW w:w="990" w:type="dxa"/>
            <w:tcBorders>
              <w:top w:val="single" w:color="auto" w:sz="12" w:space="0"/>
            </w:tcBorders>
            <w:noWrap w:val="0"/>
            <w:vAlign w:val="center"/>
          </w:tcPr>
          <w:p>
            <w:pPr>
              <w:adjustRightInd w:val="0"/>
              <w:snapToGrid w:val="0"/>
              <w:spacing w:line="300" w:lineRule="atLeast"/>
              <w:jc w:val="center"/>
              <w:rPr>
                <w:rFonts w:hint="eastAsia" w:ascii="宋体" w:hAnsi="宋体"/>
                <w:color w:val="000000"/>
                <w:sz w:val="24"/>
              </w:rPr>
            </w:pPr>
            <w:r>
              <w:rPr>
                <w:rFonts w:hint="eastAsia" w:ascii="宋体" w:hAnsi="宋体"/>
                <w:color w:val="000000"/>
                <w:sz w:val="24"/>
              </w:rPr>
              <w:t>姓名</w:t>
            </w:r>
          </w:p>
        </w:tc>
        <w:tc>
          <w:tcPr>
            <w:tcW w:w="3240" w:type="dxa"/>
            <w:gridSpan w:val="2"/>
            <w:tcBorders>
              <w:top w:val="single" w:color="auto" w:sz="12" w:space="0"/>
              <w:right w:val="single" w:color="auto" w:sz="12" w:space="0"/>
            </w:tcBorders>
            <w:noWrap w:val="0"/>
            <w:vAlign w:val="center"/>
          </w:tcPr>
          <w:p>
            <w:pPr>
              <w:adjustRightInd w:val="0"/>
              <w:snapToGrid w:val="0"/>
              <w:spacing w:line="300" w:lineRule="atLeas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58" w:hRule="atLeast"/>
        </w:trPr>
        <w:tc>
          <w:tcPr>
            <w:tcW w:w="8460" w:type="dxa"/>
            <w:gridSpan w:val="7"/>
            <w:tcBorders>
              <w:left w:val="single" w:color="auto" w:sz="12" w:space="0"/>
              <w:right w:val="single" w:color="auto" w:sz="12" w:space="0"/>
            </w:tcBorders>
            <w:noWrap w:val="0"/>
            <w:vAlign w:val="top"/>
          </w:tcPr>
          <w:p>
            <w:pPr>
              <w:adjustRightInd w:val="0"/>
              <w:snapToGrid w:val="0"/>
              <w:spacing w:line="300" w:lineRule="atLeast"/>
              <w:rPr>
                <w:rFonts w:hint="eastAsia" w:ascii="宋体" w:hAnsi="宋体"/>
                <w:color w:val="000000"/>
                <w:sz w:val="24"/>
              </w:rPr>
            </w:pPr>
            <w:r>
              <w:rPr>
                <w:rFonts w:hint="eastAsia" w:ascii="宋体" w:hAnsi="宋体"/>
                <w:color w:val="000000"/>
                <w:sz w:val="24"/>
              </w:rPr>
              <w:t>出差事由：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41" w:hRule="atLeast"/>
        </w:trPr>
        <w:tc>
          <w:tcPr>
            <w:tcW w:w="8460" w:type="dxa"/>
            <w:gridSpan w:val="7"/>
            <w:tcBorders>
              <w:left w:val="single" w:color="auto" w:sz="12" w:space="0"/>
              <w:right w:val="single" w:color="auto" w:sz="12" w:space="0"/>
            </w:tcBorders>
            <w:noWrap w:val="0"/>
            <w:vAlign w:val="top"/>
          </w:tcPr>
          <w:p>
            <w:pPr>
              <w:adjustRightInd w:val="0"/>
              <w:snapToGrid w:val="0"/>
              <w:spacing w:line="300" w:lineRule="atLeast"/>
              <w:rPr>
                <w:rFonts w:hint="eastAsia" w:ascii="宋体" w:hAnsi="宋体"/>
                <w:color w:val="000000"/>
                <w:sz w:val="24"/>
              </w:rPr>
            </w:pPr>
            <w:r>
              <w:rPr>
                <w:rFonts w:hint="eastAsia" w:ascii="宋体" w:hAnsi="宋体"/>
                <w:color w:val="000000"/>
                <w:sz w:val="24"/>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trPr>
        <w:tc>
          <w:tcPr>
            <w:tcW w:w="1260" w:type="dxa"/>
            <w:tcBorders>
              <w:left w:val="single" w:color="auto" w:sz="12" w:space="0"/>
            </w:tcBorders>
            <w:noWrap w:val="0"/>
            <w:vAlign w:val="center"/>
          </w:tcPr>
          <w:p>
            <w:pPr>
              <w:adjustRightInd w:val="0"/>
              <w:snapToGrid w:val="0"/>
              <w:spacing w:line="300" w:lineRule="atLeast"/>
              <w:jc w:val="center"/>
              <w:rPr>
                <w:rFonts w:hint="eastAsia" w:ascii="宋体" w:hAnsi="宋体"/>
                <w:color w:val="000000"/>
                <w:sz w:val="24"/>
              </w:rPr>
            </w:pPr>
            <w:r>
              <w:rPr>
                <w:rFonts w:hint="eastAsia" w:ascii="宋体" w:hAnsi="宋体"/>
                <w:color w:val="000000"/>
                <w:sz w:val="24"/>
              </w:rPr>
              <w:t>地    点</w:t>
            </w:r>
          </w:p>
        </w:tc>
        <w:tc>
          <w:tcPr>
            <w:tcW w:w="7200" w:type="dxa"/>
            <w:gridSpan w:val="6"/>
            <w:tcBorders>
              <w:right w:val="single" w:color="auto" w:sz="12" w:space="0"/>
            </w:tcBorders>
            <w:noWrap w:val="0"/>
            <w:vAlign w:val="center"/>
          </w:tcPr>
          <w:p>
            <w:pPr>
              <w:adjustRightInd w:val="0"/>
              <w:snapToGrid w:val="0"/>
              <w:spacing w:line="300" w:lineRule="atLeas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trPr>
        <w:tc>
          <w:tcPr>
            <w:tcW w:w="1260" w:type="dxa"/>
            <w:tcBorders>
              <w:left w:val="single" w:color="auto" w:sz="12" w:space="0"/>
            </w:tcBorders>
            <w:noWrap w:val="0"/>
            <w:vAlign w:val="center"/>
          </w:tcPr>
          <w:p>
            <w:pPr>
              <w:adjustRightInd w:val="0"/>
              <w:snapToGrid w:val="0"/>
              <w:spacing w:line="300" w:lineRule="atLeast"/>
              <w:jc w:val="center"/>
              <w:rPr>
                <w:rFonts w:hint="eastAsia" w:ascii="宋体" w:hAnsi="宋体"/>
                <w:color w:val="000000"/>
                <w:sz w:val="24"/>
              </w:rPr>
            </w:pPr>
            <w:r>
              <w:rPr>
                <w:rFonts w:hint="eastAsia" w:ascii="宋体" w:hAnsi="宋体"/>
                <w:color w:val="000000"/>
                <w:sz w:val="24"/>
              </w:rPr>
              <w:t>时    间</w:t>
            </w:r>
          </w:p>
        </w:tc>
        <w:tc>
          <w:tcPr>
            <w:tcW w:w="7200" w:type="dxa"/>
            <w:gridSpan w:val="6"/>
            <w:tcBorders>
              <w:right w:val="single" w:color="auto" w:sz="12" w:space="0"/>
            </w:tcBorders>
            <w:noWrap w:val="0"/>
            <w:vAlign w:val="center"/>
          </w:tcPr>
          <w:p>
            <w:pPr>
              <w:adjustRightInd w:val="0"/>
              <w:snapToGrid w:val="0"/>
              <w:spacing w:line="300" w:lineRule="atLeas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trPr>
        <w:tc>
          <w:tcPr>
            <w:tcW w:w="1260" w:type="dxa"/>
            <w:tcBorders>
              <w:left w:val="single" w:color="auto" w:sz="12" w:space="0"/>
            </w:tcBorders>
            <w:noWrap w:val="0"/>
            <w:vAlign w:val="center"/>
          </w:tcPr>
          <w:p>
            <w:pPr>
              <w:adjustRightInd w:val="0"/>
              <w:snapToGrid w:val="0"/>
              <w:spacing w:line="300" w:lineRule="atLeast"/>
              <w:jc w:val="center"/>
              <w:rPr>
                <w:rFonts w:hint="eastAsia" w:ascii="宋体" w:hAnsi="宋体"/>
                <w:color w:val="000000"/>
                <w:sz w:val="24"/>
              </w:rPr>
            </w:pPr>
            <w:r>
              <w:rPr>
                <w:rFonts w:hint="eastAsia" w:ascii="宋体" w:hAnsi="宋体"/>
                <w:color w:val="000000"/>
                <w:sz w:val="24"/>
              </w:rPr>
              <w:t>交通工具</w:t>
            </w:r>
          </w:p>
        </w:tc>
        <w:tc>
          <w:tcPr>
            <w:tcW w:w="7200" w:type="dxa"/>
            <w:gridSpan w:val="6"/>
            <w:tcBorders>
              <w:right w:val="single" w:color="auto" w:sz="12" w:space="0"/>
            </w:tcBorders>
            <w:noWrap w:val="0"/>
            <w:vAlign w:val="center"/>
          </w:tcPr>
          <w:p>
            <w:pPr>
              <w:adjustRightInd w:val="0"/>
              <w:snapToGrid w:val="0"/>
              <w:spacing w:line="300" w:lineRule="atLeast"/>
              <w:rPr>
                <w:rFonts w:hint="eastAsia" w:ascii="宋体" w:hAnsi="宋体"/>
                <w:color w:val="000000"/>
                <w:sz w:val="24"/>
              </w:rPr>
            </w:pPr>
            <w:r>
              <w:rPr>
                <w:rFonts w:hint="eastAsia" w:ascii="宋体" w:hAnsi="宋体"/>
                <w:color w:val="000000"/>
                <w:sz w:val="24"/>
              </w:rPr>
              <w:t>飞机 火车 轮船 长途汽车 单位公车 租车 其他（勾选）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2" w:hRule="atLeast"/>
        </w:trPr>
        <w:tc>
          <w:tcPr>
            <w:tcW w:w="2820" w:type="dxa"/>
            <w:gridSpan w:val="3"/>
            <w:tcBorders>
              <w:left w:val="single" w:color="auto" w:sz="12" w:space="0"/>
            </w:tcBorders>
            <w:noWrap w:val="0"/>
            <w:vAlign w:val="center"/>
          </w:tcPr>
          <w:p>
            <w:pPr>
              <w:adjustRightInd w:val="0"/>
              <w:snapToGrid w:val="0"/>
              <w:spacing w:line="300" w:lineRule="atLeast"/>
              <w:jc w:val="center"/>
              <w:rPr>
                <w:rFonts w:hint="eastAsia" w:ascii="宋体" w:hAnsi="宋体"/>
                <w:color w:val="000000"/>
                <w:sz w:val="24"/>
              </w:rPr>
            </w:pPr>
            <w:r>
              <w:rPr>
                <w:rFonts w:hint="eastAsia" w:ascii="宋体" w:hAnsi="宋体"/>
                <w:color w:val="000000"/>
                <w:sz w:val="24"/>
              </w:rPr>
              <w:t>部门负责人审批</w:t>
            </w:r>
          </w:p>
        </w:tc>
        <w:tc>
          <w:tcPr>
            <w:tcW w:w="2820" w:type="dxa"/>
            <w:gridSpan w:val="3"/>
            <w:noWrap w:val="0"/>
            <w:vAlign w:val="center"/>
          </w:tcPr>
          <w:p>
            <w:pPr>
              <w:adjustRightInd w:val="0"/>
              <w:snapToGrid w:val="0"/>
              <w:spacing w:line="300" w:lineRule="atLeast"/>
              <w:jc w:val="center"/>
              <w:rPr>
                <w:rFonts w:hint="eastAsia" w:ascii="宋体" w:hAnsi="宋体"/>
                <w:color w:val="000000"/>
                <w:sz w:val="24"/>
              </w:rPr>
            </w:pPr>
            <w:r>
              <w:rPr>
                <w:rFonts w:hint="eastAsia" w:ascii="宋体" w:hAnsi="宋体"/>
                <w:color w:val="000000"/>
                <w:sz w:val="24"/>
              </w:rPr>
              <w:t>院分管负责人审批</w:t>
            </w:r>
          </w:p>
        </w:tc>
        <w:tc>
          <w:tcPr>
            <w:tcW w:w="2820" w:type="dxa"/>
            <w:tcBorders>
              <w:right w:val="single" w:color="auto" w:sz="12" w:space="0"/>
            </w:tcBorders>
            <w:noWrap w:val="0"/>
            <w:vAlign w:val="center"/>
          </w:tcPr>
          <w:p>
            <w:pPr>
              <w:adjustRightInd w:val="0"/>
              <w:snapToGrid w:val="0"/>
              <w:spacing w:line="300" w:lineRule="atLeast"/>
              <w:jc w:val="center"/>
              <w:rPr>
                <w:rFonts w:hint="eastAsia" w:ascii="宋体" w:hAnsi="宋体"/>
                <w:color w:val="000000"/>
                <w:sz w:val="24"/>
              </w:rPr>
            </w:pPr>
            <w:r>
              <w:rPr>
                <w:rFonts w:hint="eastAsia" w:ascii="宋体" w:hAnsi="宋体"/>
                <w:color w:val="000000"/>
                <w:sz w:val="24"/>
              </w:rPr>
              <w:t>院主要负责人审批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28" w:hRule="atLeast"/>
        </w:trPr>
        <w:tc>
          <w:tcPr>
            <w:tcW w:w="2820" w:type="dxa"/>
            <w:gridSpan w:val="3"/>
            <w:tcBorders>
              <w:left w:val="single" w:color="auto" w:sz="12" w:space="0"/>
            </w:tcBorders>
            <w:noWrap w:val="0"/>
            <w:vAlign w:val="top"/>
          </w:tcPr>
          <w:p>
            <w:pPr>
              <w:adjustRightInd w:val="0"/>
              <w:snapToGrid w:val="0"/>
              <w:spacing w:line="300" w:lineRule="atLeast"/>
              <w:rPr>
                <w:rFonts w:hint="eastAsia" w:ascii="宋体" w:hAnsi="宋体"/>
                <w:color w:val="000000"/>
                <w:sz w:val="24"/>
              </w:rPr>
            </w:pPr>
          </w:p>
        </w:tc>
        <w:tc>
          <w:tcPr>
            <w:tcW w:w="2820" w:type="dxa"/>
            <w:gridSpan w:val="3"/>
            <w:noWrap w:val="0"/>
            <w:vAlign w:val="top"/>
          </w:tcPr>
          <w:p>
            <w:pPr>
              <w:adjustRightInd w:val="0"/>
              <w:snapToGrid w:val="0"/>
              <w:spacing w:line="300" w:lineRule="atLeast"/>
              <w:rPr>
                <w:rFonts w:hint="eastAsia" w:ascii="宋体" w:hAnsi="宋体"/>
                <w:color w:val="000000"/>
                <w:sz w:val="24"/>
              </w:rPr>
            </w:pPr>
          </w:p>
        </w:tc>
        <w:tc>
          <w:tcPr>
            <w:tcW w:w="2820" w:type="dxa"/>
            <w:tcBorders>
              <w:right w:val="single" w:color="auto" w:sz="12" w:space="0"/>
            </w:tcBorders>
            <w:noWrap w:val="0"/>
            <w:vAlign w:val="top"/>
          </w:tcPr>
          <w:p>
            <w:pPr>
              <w:adjustRightInd w:val="0"/>
              <w:snapToGrid w:val="0"/>
              <w:spacing w:line="300" w:lineRule="atLeas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9" w:hRule="atLeast"/>
        </w:trPr>
        <w:tc>
          <w:tcPr>
            <w:tcW w:w="1272" w:type="dxa"/>
            <w:gridSpan w:val="2"/>
            <w:tcBorders>
              <w:left w:val="single" w:color="auto" w:sz="12" w:space="0"/>
              <w:bottom w:val="single" w:color="auto" w:sz="12" w:space="0"/>
              <w:right w:val="single" w:color="auto" w:sz="4" w:space="0"/>
            </w:tcBorders>
            <w:noWrap w:val="0"/>
            <w:vAlign w:val="center"/>
          </w:tcPr>
          <w:p>
            <w:pPr>
              <w:adjustRightInd w:val="0"/>
              <w:snapToGrid w:val="0"/>
              <w:spacing w:line="300" w:lineRule="atLeast"/>
              <w:jc w:val="center"/>
              <w:rPr>
                <w:rFonts w:hint="eastAsia" w:ascii="宋体" w:hAnsi="宋体"/>
                <w:color w:val="000000"/>
                <w:sz w:val="24"/>
              </w:rPr>
            </w:pPr>
            <w:r>
              <w:rPr>
                <w:rFonts w:hint="eastAsia" w:ascii="宋体" w:hAnsi="宋体"/>
                <w:color w:val="000000"/>
                <w:sz w:val="24"/>
              </w:rPr>
              <w:t>备  注</w:t>
            </w:r>
          </w:p>
        </w:tc>
        <w:tc>
          <w:tcPr>
            <w:tcW w:w="7188" w:type="dxa"/>
            <w:gridSpan w:val="5"/>
            <w:tcBorders>
              <w:left w:val="single" w:color="auto" w:sz="4" w:space="0"/>
              <w:bottom w:val="single" w:color="auto" w:sz="12" w:space="0"/>
              <w:right w:val="single" w:color="auto" w:sz="12" w:space="0"/>
            </w:tcBorders>
            <w:noWrap w:val="0"/>
            <w:vAlign w:val="top"/>
          </w:tcPr>
          <w:p>
            <w:pPr>
              <w:adjustRightInd w:val="0"/>
              <w:snapToGrid w:val="0"/>
              <w:spacing w:line="300" w:lineRule="atLeast"/>
              <w:rPr>
                <w:rFonts w:hint="eastAsia" w:ascii="宋体" w:hAnsi="宋体"/>
                <w:color w:val="000000"/>
                <w:sz w:val="24"/>
              </w:rPr>
            </w:pPr>
          </w:p>
        </w:tc>
      </w:tr>
    </w:tbl>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注：由行政职能部门统一组织的公务出差，请相应的行政职能部门负责人在“部门负责人审批”一栏中签批意见。</w:t>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Fonts w:ascii="宋体" w:hAnsi="宋体"/>
          <w:sz w:val="28"/>
          <w:szCs w:val="28"/>
        </w:rPr>
        <w:br w:type="page"/>
      </w:r>
      <w:r>
        <w:rPr>
          <w:rStyle w:val="13"/>
          <w:rFonts w:hint="eastAsia" w:ascii="方正小标宋简体" w:hAnsi="方正小标宋简体" w:eastAsia="方正小标宋简体" w:cs="方正小标宋简体"/>
          <w:b/>
          <w:bCs/>
          <w:color w:val="2B2B2B"/>
          <w:sz w:val="44"/>
          <w:szCs w:val="44"/>
        </w:rPr>
        <w:t>山东旅游职业学院</w:t>
      </w:r>
    </w:p>
    <w:p>
      <w:pPr>
        <w:pStyle w:val="9"/>
        <w:spacing w:before="0" w:beforeAutospacing="0" w:after="0" w:afterAutospacing="0"/>
        <w:jc w:val="center"/>
        <w:rPr>
          <w:rStyle w:val="15"/>
          <w:rFonts w:hint="eastAsia" w:ascii="宋体" w:hAnsi="宋体"/>
          <w:color w:val="000000"/>
          <w:sz w:val="32"/>
          <w:szCs w:val="32"/>
        </w:rPr>
      </w:pPr>
      <w:r>
        <w:rPr>
          <w:rStyle w:val="13"/>
          <w:rFonts w:hint="eastAsia" w:ascii="方正小标宋简体" w:hAnsi="方正小标宋简体" w:eastAsia="方正小标宋简体" w:cs="方正小标宋简体"/>
          <w:b/>
          <w:bCs/>
          <w:color w:val="2B2B2B"/>
          <w:sz w:val="44"/>
          <w:szCs w:val="44"/>
        </w:rPr>
        <w:t>会议费管理实施细则</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第一章　总则</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第一条</w:t>
      </w:r>
      <w:r>
        <w:rPr>
          <w:rFonts w:hint="eastAsia" w:ascii="宋体" w:hAnsi="宋体"/>
          <w:sz w:val="28"/>
          <w:szCs w:val="28"/>
        </w:rPr>
        <w:t>　</w:t>
      </w:r>
      <w:r>
        <w:rPr>
          <w:rFonts w:hint="eastAsia" w:ascii="方正仿宋_GB2312" w:hAnsi="方正仿宋_GB2312" w:eastAsia="方正仿宋_GB2312" w:cs="方正仿宋_GB2312"/>
          <w:color w:val="2B2B2B"/>
          <w:kern w:val="0"/>
          <w:sz w:val="32"/>
          <w:szCs w:val="32"/>
          <w:lang w:val="en-US" w:eastAsia="zh-CN" w:bidi="ar-SA"/>
        </w:rPr>
        <w:t>为了进一步加强和规范会议费管理，提高会议效率和质量，节约会议经费开支，根据《党政机关厉行节约反对浪费条例》及《山东省省直机关会议费管理办法》（鲁办发【2014】6号）等有关规定，结合学院实际，制定本细则。</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第二条</w:t>
      </w:r>
      <w:r>
        <w:rPr>
          <w:rFonts w:hint="eastAsia" w:ascii="宋体" w:hAnsi="宋体"/>
          <w:sz w:val="28"/>
          <w:szCs w:val="28"/>
        </w:rPr>
        <w:t>　</w:t>
      </w:r>
      <w:r>
        <w:rPr>
          <w:rFonts w:hint="eastAsia" w:ascii="方正仿宋_GB2312" w:hAnsi="方正仿宋_GB2312" w:eastAsia="方正仿宋_GB2312" w:cs="方正仿宋_GB2312"/>
          <w:color w:val="2B2B2B"/>
          <w:kern w:val="0"/>
          <w:sz w:val="32"/>
          <w:szCs w:val="32"/>
          <w:lang w:val="en-US" w:eastAsia="zh-CN" w:bidi="ar-SA"/>
        </w:rPr>
        <w:t>本办法适用于学院各部门及下属各单位。</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第三条　</w:t>
      </w:r>
      <w:r>
        <w:rPr>
          <w:rFonts w:hint="eastAsia" w:ascii="方正仿宋_GB2312" w:hAnsi="方正仿宋_GB2312" w:eastAsia="方正仿宋_GB2312" w:cs="方正仿宋_GB2312"/>
          <w:color w:val="2B2B2B"/>
          <w:kern w:val="0"/>
          <w:sz w:val="32"/>
          <w:szCs w:val="32"/>
          <w:lang w:val="en-US" w:eastAsia="zh-CN" w:bidi="ar-SA"/>
        </w:rPr>
        <w:t>学</w:t>
      </w:r>
      <w:r>
        <w:rPr>
          <w:rFonts w:hint="eastAsia" w:ascii="方正仿宋_GB2312" w:hAnsi="方正仿宋_GB2312" w:eastAsia="方正仿宋_GB2312" w:cs="方正仿宋_GB2312"/>
          <w:color w:val="2B2B2B"/>
          <w:kern w:val="0"/>
          <w:sz w:val="32"/>
          <w:szCs w:val="32"/>
          <w:lang w:val="en-US" w:eastAsia="zh-CN" w:bidi="ar-SA"/>
        </w:rPr>
        <w:t>院召开会议应当实行分类管理、分级审批。坚持厉行节约、反对浪费、规范简朴、务实高效的原则，严格控制会议数量，规范会议费管理。将会议费纳入预算，细化到具体会议项目，并单独列示，应当严格控制会议费预算规模，执行中不得突破。</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第二章　会议分类与会议审批</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第四条</w:t>
      </w:r>
      <w:r>
        <w:rPr>
          <w:rFonts w:hint="eastAsia" w:ascii="宋体" w:hAnsi="宋体"/>
          <w:sz w:val="28"/>
          <w:szCs w:val="28"/>
        </w:rPr>
        <w:t>　</w:t>
      </w:r>
      <w:r>
        <w:rPr>
          <w:rFonts w:hint="eastAsia" w:ascii="方正仿宋_GB2312" w:hAnsi="方正仿宋_GB2312" w:eastAsia="方正仿宋_GB2312" w:cs="方正仿宋_GB2312"/>
          <w:color w:val="2B2B2B"/>
          <w:kern w:val="0"/>
          <w:sz w:val="32"/>
          <w:szCs w:val="32"/>
          <w:lang w:val="en-US" w:eastAsia="zh-CN" w:bidi="ar-SA"/>
        </w:rPr>
        <w:t>学院会议为三类会议，指学院召开的综合性工作会议。</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第五条　</w:t>
      </w:r>
      <w:r>
        <w:rPr>
          <w:rFonts w:hint="eastAsia" w:ascii="方正仿宋_GB2312" w:hAnsi="方正仿宋_GB2312" w:eastAsia="方正仿宋_GB2312" w:cs="方正仿宋_GB2312"/>
          <w:color w:val="2B2B2B"/>
          <w:sz w:val="32"/>
          <w:szCs w:val="32"/>
        </w:rPr>
        <w:t>建立会议审批制度。</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建立内部会议审批制度，从严从紧控制三类会议。对确需召开的会议，应当经学院领导办公会议或者主要领导批准。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第六条　</w:t>
      </w:r>
      <w:r>
        <w:rPr>
          <w:rFonts w:hint="eastAsia" w:ascii="方正仿宋_GB2312" w:hAnsi="方正仿宋_GB2312" w:eastAsia="方正仿宋_GB2312" w:cs="方正仿宋_GB2312"/>
          <w:color w:val="2B2B2B"/>
          <w:sz w:val="32"/>
          <w:szCs w:val="32"/>
        </w:rPr>
        <w:t>大力压缩会议会期，会议不超过1天。</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会议报到和离开时间合计不超过1天。</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第七条　</w:t>
      </w:r>
      <w:r>
        <w:rPr>
          <w:rFonts w:hint="eastAsia" w:ascii="方正仿宋_GB2312" w:hAnsi="方正仿宋_GB2312" w:eastAsia="方正仿宋_GB2312" w:cs="方正仿宋_GB2312"/>
          <w:color w:val="2B2B2B"/>
          <w:kern w:val="0"/>
          <w:sz w:val="32"/>
          <w:szCs w:val="32"/>
          <w:lang w:val="en-US" w:eastAsia="zh-CN" w:bidi="ar-SA"/>
        </w:rPr>
        <w:t>严格控制会议规模，压减参会人员，不请与会议内容无关的单位和人员参会。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会议参会人员一般不超过150人，其中，工作人员控制在会议代表人数的10%以内。</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楷体_GB2312" w:hAnsi="方正楷体_GB2312" w:eastAsia="方正楷体_GB2312" w:cs="方正楷体_GB2312"/>
          <w:color w:val="2B2B2B"/>
          <w:sz w:val="32"/>
          <w:szCs w:val="32"/>
        </w:rPr>
        <w:t>第八条　</w:t>
      </w:r>
      <w:r>
        <w:rPr>
          <w:rFonts w:hint="eastAsia" w:ascii="方正仿宋_GB2312" w:hAnsi="方正仿宋_GB2312" w:eastAsia="方正仿宋_GB2312" w:cs="方正仿宋_GB2312"/>
          <w:color w:val="2B2B2B"/>
          <w:sz w:val="32"/>
          <w:szCs w:val="32"/>
        </w:rPr>
        <w:t>各单位召开会议应当改进会议形式，充分运用电视电话、网络视频等现代信息技术手段，降低会议成本，提高会议效率。</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传达、布置类会议优先采取电视电话、网络视频会议方式召开，应当控制规模，限制时间，节约费用支出。</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第九条　</w:t>
      </w:r>
      <w:r>
        <w:rPr>
          <w:rFonts w:hint="eastAsia" w:ascii="方正仿宋_GB2312" w:hAnsi="方正仿宋_GB2312" w:eastAsia="方正仿宋_GB2312" w:cs="方正仿宋_GB2312"/>
          <w:color w:val="2B2B2B"/>
          <w:kern w:val="0"/>
          <w:sz w:val="32"/>
          <w:szCs w:val="32"/>
          <w:lang w:val="en-US" w:eastAsia="zh-CN" w:bidi="ar-SA"/>
        </w:rPr>
        <w:t>会议地点应选择学院内部场所。确需外出的，应选择党政机关定点饭店召开。各项费用按协议价格执行。</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第三章　会议费开支范围、标准与报销支付</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第十条　</w:t>
      </w:r>
      <w:r>
        <w:rPr>
          <w:rFonts w:hint="eastAsia" w:ascii="方正仿宋_GB2312" w:hAnsi="方正仿宋_GB2312" w:eastAsia="方正仿宋_GB2312" w:cs="方正仿宋_GB2312"/>
          <w:color w:val="2B2B2B"/>
          <w:kern w:val="0"/>
          <w:sz w:val="32"/>
          <w:szCs w:val="32"/>
          <w:lang w:val="en-US" w:eastAsia="zh-CN" w:bidi="ar-SA"/>
        </w:rPr>
        <w:t>会议费开支范围包括会议住宿费、伙食费、会议室租金、交通费、文件印刷费、医药费等。</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2B2B2B"/>
          <w:sz w:val="32"/>
          <w:szCs w:val="32"/>
        </w:rPr>
      </w:pPr>
      <w:r>
        <w:rPr>
          <w:rFonts w:hint="eastAsia" w:ascii="方正仿宋_GB2312" w:hAnsi="方正仿宋_GB2312" w:eastAsia="方正仿宋_GB2312" w:cs="方正仿宋_GB2312"/>
          <w:color w:val="2B2B2B"/>
          <w:sz w:val="32"/>
          <w:szCs w:val="32"/>
        </w:rPr>
        <w:t>前款所称交通费是指用于会议代表接送站，以及会议统一组织的代表考察、调研等发生的交通支出。</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第十一条　</w:t>
      </w:r>
      <w:r>
        <w:rPr>
          <w:rFonts w:hint="eastAsia" w:ascii="方正仿宋_GB2312" w:hAnsi="方正仿宋_GB2312" w:eastAsia="方正仿宋_GB2312" w:cs="方正仿宋_GB2312"/>
          <w:color w:val="2B2B2B"/>
          <w:kern w:val="0"/>
          <w:sz w:val="32"/>
          <w:szCs w:val="32"/>
          <w:lang w:val="en-US" w:eastAsia="zh-CN" w:bidi="ar-SA"/>
        </w:rPr>
        <w:t>会议费开支实行综合定额控制，各项费用之间可以调剂使用。</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会议费综合定额标准如下:</w:t>
      </w:r>
    </w:p>
    <w:p>
      <w:pPr>
        <w:spacing w:line="480" w:lineRule="exact"/>
        <w:ind w:firstLine="5938" w:firstLineChars="2121"/>
        <w:rPr>
          <w:rFonts w:hint="eastAsia" w:ascii="宋体" w:hAnsi="宋体"/>
          <w:sz w:val="28"/>
          <w:szCs w:val="28"/>
        </w:rPr>
      </w:pPr>
      <w:r>
        <w:rPr>
          <w:rFonts w:hint="eastAsia" w:ascii="宋体" w:hAnsi="宋体"/>
          <w:sz w:val="28"/>
          <w:szCs w:val="28"/>
        </w:rPr>
        <w:t>单位:元/人天</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284"/>
        <w:gridCol w:w="1260"/>
        <w:gridCol w:w="162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04" w:type="dxa"/>
            <w:noWrap w:val="0"/>
            <w:vAlign w:val="center"/>
          </w:tcPr>
          <w:p>
            <w:pPr>
              <w:spacing w:line="480" w:lineRule="exact"/>
              <w:jc w:val="center"/>
              <w:rPr>
                <w:rFonts w:hint="eastAsia" w:ascii="宋体" w:hAnsi="宋体"/>
                <w:sz w:val="28"/>
                <w:szCs w:val="28"/>
              </w:rPr>
            </w:pPr>
            <w:r>
              <w:rPr>
                <w:rFonts w:hint="eastAsia" w:ascii="宋体" w:hAnsi="宋体"/>
                <w:sz w:val="28"/>
                <w:szCs w:val="28"/>
              </w:rPr>
              <w:t>会议类别</w:t>
            </w:r>
          </w:p>
        </w:tc>
        <w:tc>
          <w:tcPr>
            <w:tcW w:w="1284" w:type="dxa"/>
            <w:noWrap w:val="0"/>
            <w:vAlign w:val="center"/>
          </w:tcPr>
          <w:p>
            <w:pPr>
              <w:spacing w:line="480" w:lineRule="exact"/>
              <w:jc w:val="center"/>
              <w:rPr>
                <w:rFonts w:hint="eastAsia" w:ascii="宋体" w:hAnsi="宋体"/>
                <w:sz w:val="28"/>
                <w:szCs w:val="28"/>
              </w:rPr>
            </w:pPr>
            <w:r>
              <w:rPr>
                <w:rFonts w:hint="eastAsia" w:ascii="宋体" w:hAnsi="宋体"/>
                <w:sz w:val="28"/>
                <w:szCs w:val="28"/>
              </w:rPr>
              <w:t>住宿费</w:t>
            </w:r>
          </w:p>
        </w:tc>
        <w:tc>
          <w:tcPr>
            <w:tcW w:w="1260" w:type="dxa"/>
            <w:noWrap w:val="0"/>
            <w:vAlign w:val="center"/>
          </w:tcPr>
          <w:p>
            <w:pPr>
              <w:spacing w:line="480" w:lineRule="exact"/>
              <w:jc w:val="center"/>
              <w:rPr>
                <w:rFonts w:hint="eastAsia" w:ascii="宋体" w:hAnsi="宋体"/>
                <w:sz w:val="28"/>
                <w:szCs w:val="28"/>
              </w:rPr>
            </w:pPr>
            <w:r>
              <w:rPr>
                <w:rFonts w:hint="eastAsia" w:ascii="宋体" w:hAnsi="宋体"/>
                <w:sz w:val="28"/>
                <w:szCs w:val="28"/>
              </w:rPr>
              <w:t>伙食费</w:t>
            </w:r>
          </w:p>
        </w:tc>
        <w:tc>
          <w:tcPr>
            <w:tcW w:w="1620" w:type="dxa"/>
            <w:noWrap w:val="0"/>
            <w:vAlign w:val="center"/>
          </w:tcPr>
          <w:p>
            <w:pPr>
              <w:spacing w:line="480" w:lineRule="exact"/>
              <w:jc w:val="center"/>
              <w:rPr>
                <w:rFonts w:hint="eastAsia" w:ascii="宋体" w:hAnsi="宋体"/>
                <w:sz w:val="28"/>
                <w:szCs w:val="28"/>
              </w:rPr>
            </w:pPr>
            <w:r>
              <w:rPr>
                <w:rFonts w:hint="eastAsia" w:ascii="宋体" w:hAnsi="宋体"/>
                <w:sz w:val="28"/>
                <w:szCs w:val="28"/>
              </w:rPr>
              <w:t>其他费用</w:t>
            </w:r>
          </w:p>
        </w:tc>
        <w:tc>
          <w:tcPr>
            <w:tcW w:w="1643" w:type="dxa"/>
            <w:noWrap w:val="0"/>
            <w:vAlign w:val="center"/>
          </w:tcPr>
          <w:p>
            <w:pPr>
              <w:spacing w:line="480" w:lineRule="exact"/>
              <w:jc w:val="center"/>
              <w:rPr>
                <w:rFonts w:hint="eastAsia" w:ascii="宋体" w:hAnsi="宋体"/>
                <w:sz w:val="28"/>
                <w:szCs w:val="28"/>
              </w:rPr>
            </w:pPr>
            <w:r>
              <w:rPr>
                <w:rFonts w:hint="eastAsia" w:ascii="宋体" w:hAnsi="宋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04" w:type="dxa"/>
            <w:noWrap w:val="0"/>
            <w:vAlign w:val="center"/>
          </w:tcPr>
          <w:p>
            <w:pPr>
              <w:spacing w:line="480" w:lineRule="exact"/>
              <w:jc w:val="center"/>
              <w:rPr>
                <w:rFonts w:hint="eastAsia" w:ascii="宋体" w:hAnsi="宋体"/>
                <w:sz w:val="28"/>
                <w:szCs w:val="28"/>
              </w:rPr>
            </w:pPr>
            <w:r>
              <w:rPr>
                <w:rFonts w:hint="eastAsia" w:ascii="宋体" w:hAnsi="宋体"/>
                <w:sz w:val="28"/>
                <w:szCs w:val="28"/>
              </w:rPr>
              <w:t>三类会议</w:t>
            </w:r>
          </w:p>
        </w:tc>
        <w:tc>
          <w:tcPr>
            <w:tcW w:w="1284" w:type="dxa"/>
            <w:noWrap w:val="0"/>
            <w:vAlign w:val="center"/>
          </w:tcPr>
          <w:p>
            <w:pPr>
              <w:spacing w:line="480" w:lineRule="exact"/>
              <w:jc w:val="center"/>
              <w:rPr>
                <w:rFonts w:hint="eastAsia" w:ascii="宋体" w:hAnsi="宋体"/>
                <w:sz w:val="28"/>
                <w:szCs w:val="28"/>
              </w:rPr>
            </w:pPr>
            <w:r>
              <w:rPr>
                <w:rFonts w:hint="eastAsia" w:ascii="宋体" w:hAnsi="宋体"/>
                <w:sz w:val="28"/>
                <w:szCs w:val="28"/>
              </w:rPr>
              <w:t>210</w:t>
            </w:r>
          </w:p>
        </w:tc>
        <w:tc>
          <w:tcPr>
            <w:tcW w:w="1260" w:type="dxa"/>
            <w:noWrap w:val="0"/>
            <w:vAlign w:val="center"/>
          </w:tcPr>
          <w:p>
            <w:pPr>
              <w:spacing w:line="480" w:lineRule="exact"/>
              <w:jc w:val="center"/>
              <w:rPr>
                <w:rFonts w:hint="eastAsia" w:ascii="宋体" w:hAnsi="宋体"/>
                <w:sz w:val="28"/>
                <w:szCs w:val="28"/>
              </w:rPr>
            </w:pPr>
            <w:r>
              <w:rPr>
                <w:rFonts w:hint="eastAsia" w:ascii="宋体" w:hAnsi="宋体"/>
                <w:sz w:val="28"/>
                <w:szCs w:val="28"/>
              </w:rPr>
              <w:t>110</w:t>
            </w:r>
          </w:p>
        </w:tc>
        <w:tc>
          <w:tcPr>
            <w:tcW w:w="1620" w:type="dxa"/>
            <w:noWrap w:val="0"/>
            <w:vAlign w:val="center"/>
          </w:tcPr>
          <w:p>
            <w:pPr>
              <w:spacing w:line="480" w:lineRule="exact"/>
              <w:jc w:val="center"/>
              <w:rPr>
                <w:rFonts w:hint="eastAsia" w:ascii="宋体" w:hAnsi="宋体"/>
                <w:sz w:val="28"/>
                <w:szCs w:val="28"/>
              </w:rPr>
            </w:pPr>
            <w:r>
              <w:rPr>
                <w:rFonts w:hint="eastAsia" w:ascii="宋体" w:hAnsi="宋体"/>
                <w:sz w:val="28"/>
                <w:szCs w:val="28"/>
              </w:rPr>
              <w:t>80</w:t>
            </w:r>
          </w:p>
        </w:tc>
        <w:tc>
          <w:tcPr>
            <w:tcW w:w="1643" w:type="dxa"/>
            <w:noWrap w:val="0"/>
            <w:vAlign w:val="center"/>
          </w:tcPr>
          <w:p>
            <w:pPr>
              <w:spacing w:line="480" w:lineRule="exact"/>
              <w:jc w:val="center"/>
              <w:rPr>
                <w:rFonts w:hint="eastAsia" w:ascii="宋体" w:hAnsi="宋体"/>
                <w:sz w:val="28"/>
                <w:szCs w:val="28"/>
              </w:rPr>
            </w:pPr>
            <w:r>
              <w:rPr>
                <w:rFonts w:hint="eastAsia" w:ascii="宋体" w:hAnsi="宋体"/>
                <w:sz w:val="28"/>
                <w:szCs w:val="28"/>
              </w:rPr>
              <w:t>400</w:t>
            </w:r>
          </w:p>
        </w:tc>
      </w:tr>
    </w:tbl>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综合定额标准是会议费开支的上限，各单位应当在综合定额标准以内结算报销。</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第十二条</w:t>
      </w:r>
      <w:r>
        <w:rPr>
          <w:rFonts w:hint="eastAsia" w:ascii="方正仿宋_GB2312" w:hAnsi="方正仿宋_GB2312" w:eastAsia="方正仿宋_GB2312" w:cs="方正仿宋_GB2312"/>
          <w:color w:val="2B2B2B"/>
          <w:kern w:val="0"/>
          <w:sz w:val="32"/>
          <w:szCs w:val="32"/>
          <w:lang w:val="en-US" w:eastAsia="zh-CN" w:bidi="ar-SA"/>
        </w:rPr>
        <w:t>　会</w:t>
      </w:r>
      <w:r>
        <w:rPr>
          <w:rFonts w:hint="eastAsia" w:ascii="方正仿宋_GB2312" w:hAnsi="方正仿宋_GB2312" w:eastAsia="方正仿宋_GB2312" w:cs="方正仿宋_GB2312"/>
          <w:color w:val="2B2B2B"/>
          <w:kern w:val="0"/>
          <w:sz w:val="32"/>
          <w:szCs w:val="32"/>
          <w:lang w:val="en-US" w:eastAsia="zh-CN" w:bidi="ar-SA"/>
        </w:rPr>
        <w:t>议费实行一会一结算，各部门（单位）负责人对发生的会议费的真实性负责。会议结束后，应当及时办理报销手续。会议费报销时，应当提供会议审批文件、会议通知及实际参会人员名单、定点饭店等会议服务单位提供的费用原始明细单据、电子结算单等凭证。财务部门应当严格按规定审核会议费开支，未经批准以及超范围、超标准开支的会议费用，一律不予报销。</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第十三条　</w:t>
      </w:r>
      <w:r>
        <w:rPr>
          <w:rFonts w:hint="eastAsia" w:ascii="方正仿宋_GB2312" w:hAnsi="方正仿宋_GB2312" w:eastAsia="方正仿宋_GB2312" w:cs="方正仿宋_GB2312"/>
          <w:color w:val="2B2B2B"/>
          <w:kern w:val="0"/>
          <w:sz w:val="32"/>
          <w:szCs w:val="32"/>
          <w:lang w:val="en-US" w:eastAsia="zh-CN" w:bidi="ar-SA"/>
        </w:rPr>
        <w:t>会议费支付应当严格按照国库集中支付制度和公务卡管理制度的有关规定执行，以银行转账或者公务卡方式结算，禁止以现金方式结算。</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第十四条</w:t>
      </w:r>
      <w:r>
        <w:rPr>
          <w:rFonts w:hint="eastAsia" w:ascii="方正楷体_GB2312" w:hAnsi="方正楷体_GB2312" w:eastAsia="方正楷体_GB2312" w:cs="方正楷体_GB2312"/>
          <w:color w:val="2B2B2B"/>
          <w:kern w:val="0"/>
          <w:sz w:val="32"/>
          <w:szCs w:val="32"/>
          <w:lang w:val="en-US" w:eastAsia="zh-CN" w:bidi="ar-SA"/>
        </w:rPr>
        <w:t>　</w:t>
      </w:r>
      <w:r>
        <w:rPr>
          <w:rFonts w:hint="eastAsia" w:ascii="方正仿宋_GB2312" w:hAnsi="方正仿宋_GB2312" w:eastAsia="方正仿宋_GB2312" w:cs="方正仿宋_GB2312"/>
          <w:color w:val="2B2B2B"/>
          <w:kern w:val="0"/>
          <w:sz w:val="32"/>
          <w:szCs w:val="32"/>
          <w:lang w:val="en-US" w:eastAsia="zh-CN" w:bidi="ar-SA"/>
        </w:rPr>
        <w:t>严格控制会议住宿用房标准，以标准间为主；会议用餐安排自助餐或者工作餐，严格控制菜品种类和数量，不提供高档菜肴，不安排宴请，不上烟酒；会场一律不摆放</w:t>
      </w:r>
      <w:r>
        <w:rPr>
          <w:rFonts w:hint="eastAsia" w:ascii="方正楷体_GB2312" w:hAnsi="方正楷体_GB2312" w:eastAsia="方正楷体_GB2312" w:cs="方正楷体_GB2312"/>
          <w:color w:val="2B2B2B"/>
          <w:kern w:val="0"/>
          <w:sz w:val="32"/>
          <w:szCs w:val="32"/>
          <w:lang w:val="en-US" w:eastAsia="zh-CN" w:bidi="ar-SA"/>
        </w:rPr>
        <w:t>花草</w:t>
      </w:r>
      <w:r>
        <w:rPr>
          <w:rFonts w:hint="eastAsia" w:ascii="方正仿宋_GB2312" w:hAnsi="方正仿宋_GB2312" w:eastAsia="方正仿宋_GB2312" w:cs="方正仿宋_GB2312"/>
          <w:color w:val="2B2B2B"/>
          <w:kern w:val="0"/>
          <w:sz w:val="32"/>
          <w:szCs w:val="32"/>
          <w:lang w:val="en-US" w:eastAsia="zh-CN" w:bidi="ar-SA"/>
        </w:rPr>
        <w:t>，不制作背景板，不提供水果。</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第十五条</w:t>
      </w:r>
      <w:r>
        <w:rPr>
          <w:rFonts w:hint="eastAsia" w:ascii="宋体" w:hAnsi="宋体"/>
          <w:sz w:val="28"/>
          <w:szCs w:val="28"/>
        </w:rPr>
        <w:t>　</w:t>
      </w:r>
      <w:r>
        <w:rPr>
          <w:rFonts w:hint="eastAsia" w:ascii="方正仿宋_GB2312" w:hAnsi="方正仿宋_GB2312" w:eastAsia="方正仿宋_GB2312" w:cs="方正仿宋_GB2312"/>
          <w:color w:val="2B2B2B"/>
          <w:kern w:val="0"/>
          <w:sz w:val="32"/>
          <w:szCs w:val="32"/>
          <w:lang w:val="en-US" w:eastAsia="zh-CN" w:bidi="ar-SA"/>
        </w:rPr>
        <w:t>严禁违规使用会议费购置办公设备以及开支与本次会议无关的其他费用；严禁组织会议代表旅游和与会议无关的参观；严禁组织高消费娱乐、健身活动；严禁以任何名义发放纪念品；严禁额外配发洗漱用品；严禁借会议名义组织会餐；严禁套取会议资金；严禁在会议费中列支公务接待费等费用。</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第四章　会议费公示与年度报告制度</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第十六条</w:t>
      </w:r>
      <w:r>
        <w:rPr>
          <w:rFonts w:hint="eastAsia" w:ascii="宋体" w:hAnsi="宋体"/>
          <w:sz w:val="28"/>
          <w:szCs w:val="28"/>
        </w:rPr>
        <w:t>　</w:t>
      </w:r>
      <w:r>
        <w:rPr>
          <w:rFonts w:hint="eastAsia" w:ascii="方正仿宋_GB2312" w:hAnsi="方正仿宋_GB2312" w:eastAsia="方正仿宋_GB2312" w:cs="方正仿宋_GB2312"/>
          <w:color w:val="2B2B2B"/>
          <w:kern w:val="0"/>
          <w:sz w:val="32"/>
          <w:szCs w:val="32"/>
          <w:lang w:val="en-US" w:eastAsia="zh-CN" w:bidi="ar-SA"/>
        </w:rPr>
        <w:t>承办会议的部门（单位）应当将非涉密会议名称、主要内容、参会人数、经费开支等情况在学院内部公示，具备条件的应当向社会公开。</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第十七条</w:t>
      </w:r>
      <w:r>
        <w:rPr>
          <w:rFonts w:hint="eastAsia" w:ascii="宋体" w:hAnsi="宋体"/>
          <w:sz w:val="28"/>
          <w:szCs w:val="28"/>
        </w:rPr>
        <w:t>　</w:t>
      </w:r>
      <w:r>
        <w:rPr>
          <w:rFonts w:hint="eastAsia" w:ascii="方正仿宋_GB2312" w:hAnsi="方正仿宋_GB2312" w:eastAsia="方正仿宋_GB2312" w:cs="方正仿宋_GB2312"/>
          <w:color w:val="2B2B2B"/>
          <w:kern w:val="0"/>
          <w:sz w:val="32"/>
          <w:szCs w:val="32"/>
          <w:lang w:val="en-US" w:eastAsia="zh-CN" w:bidi="ar-SA"/>
        </w:rPr>
        <w:t>学院应当在部门决算中如实反映上年度会议费支出，并编制会议年度报告将上年度会议预算和执行情况(包括会议名称、主要内容、时间地点、代表人数、工作人员数、经费开支及列支渠道等)报送上级主管部门。</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第五章　监督检查与责任追究</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第十八条</w:t>
      </w:r>
      <w:r>
        <w:rPr>
          <w:rFonts w:hint="eastAsia" w:ascii="宋体" w:hAnsi="宋体"/>
          <w:sz w:val="28"/>
          <w:szCs w:val="28"/>
        </w:rPr>
        <w:t>　</w:t>
      </w:r>
      <w:r>
        <w:rPr>
          <w:rFonts w:hint="eastAsia" w:ascii="方正仿宋_GB2312" w:hAnsi="方正仿宋_GB2312" w:eastAsia="方正仿宋_GB2312" w:cs="方正仿宋_GB2312"/>
          <w:color w:val="2B2B2B"/>
          <w:kern w:val="0"/>
          <w:sz w:val="32"/>
          <w:szCs w:val="32"/>
          <w:lang w:val="en-US" w:eastAsia="zh-CN" w:bidi="ar-SA"/>
        </w:rPr>
        <w:t>学院纪委、审计等部门对各部门(单位)会议费管理和使用情况进行监督检查。主要内容包括:</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(一)会议计划的编报、审批和执行情况；</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(二)会议费开支范围和开支标准执行情况；</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(三)会议费报销和支付情况；</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(四)会议会期、规模、定点召开情况；</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(五)是否存在会议费转嫁、摊派情况；</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(六)会议费管理和使用的其他情况。</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第十九条　</w:t>
      </w:r>
      <w:r>
        <w:rPr>
          <w:rFonts w:hint="eastAsia" w:ascii="方正仿宋_GB2312" w:hAnsi="方正仿宋_GB2312" w:eastAsia="方正仿宋_GB2312" w:cs="方正仿宋_GB2312"/>
          <w:color w:val="2B2B2B"/>
          <w:kern w:val="0"/>
          <w:sz w:val="32"/>
          <w:szCs w:val="32"/>
          <w:lang w:val="en-US" w:eastAsia="zh-CN" w:bidi="ar-SA"/>
        </w:rPr>
        <w:t>违反本办法规定，有下列行为之一的，依法依规追究会议举办部门（单位）和相关人员的责任:</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(一)计划外召开会议的；</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(二)以虚报、冒领手段骗取会议费的；</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(三)虚报会议人数、天数等进行报销的；</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(四)违规扩大会议费开支范围，擅自提高会议费开支标准的；</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(五)违规报销与会议无关费用的；</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(六)其他违反本办法行为的。</w:t>
      </w:r>
    </w:p>
    <w:p>
      <w:pPr>
        <w:spacing w:line="480" w:lineRule="exact"/>
        <w:ind w:firstLine="720" w:firstLineChars="225"/>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有上述所列行为之一的，责令改正，追回资金，并经报批后予以通报。对直接负责的主管人员和相关责任人，给予相应处分。涉嫌违法的，按有关规定依法处理。</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第六章　附则</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第二十条　</w:t>
      </w:r>
      <w:r>
        <w:rPr>
          <w:rFonts w:hint="eastAsia" w:ascii="方正仿宋_GB2312" w:hAnsi="方正仿宋_GB2312" w:eastAsia="方正仿宋_GB2312" w:cs="方正仿宋_GB2312"/>
          <w:color w:val="2B2B2B"/>
          <w:kern w:val="0"/>
          <w:sz w:val="32"/>
          <w:szCs w:val="32"/>
          <w:lang w:val="en-US" w:eastAsia="zh-CN" w:bidi="ar-SA"/>
        </w:rPr>
        <w:t>本细则由办公室会同财务审计处负责解释</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第二十一条　</w:t>
      </w:r>
      <w:r>
        <w:rPr>
          <w:rFonts w:hint="eastAsia" w:ascii="方正仿宋_GB2312" w:hAnsi="方正仿宋_GB2312" w:eastAsia="方正仿宋_GB2312" w:cs="方正仿宋_GB2312"/>
          <w:color w:val="2B2B2B"/>
          <w:kern w:val="0"/>
          <w:sz w:val="32"/>
          <w:szCs w:val="32"/>
          <w:lang w:val="en-US" w:eastAsia="zh-CN" w:bidi="ar-SA"/>
        </w:rPr>
        <w:t>本办法自发布之日起实施。</w:t>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sz w:val="28"/>
          <w:szCs w:val="28"/>
        </w:rPr>
        <w:br w:type="page"/>
      </w:r>
      <w:r>
        <w:rPr>
          <w:rStyle w:val="13"/>
          <w:rFonts w:hint="eastAsia" w:ascii="方正小标宋简体" w:hAnsi="方正小标宋简体" w:eastAsia="方正小标宋简体" w:cs="方正小标宋简体"/>
          <w:b/>
          <w:bCs/>
          <w:color w:val="2B2B2B"/>
          <w:sz w:val="44"/>
          <w:szCs w:val="44"/>
        </w:rPr>
        <w:t>山东旅游职业学院</w:t>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Style w:val="13"/>
          <w:rFonts w:hint="eastAsia" w:ascii="方正小标宋简体" w:hAnsi="方正小标宋简体" w:eastAsia="方正小标宋简体" w:cs="方正小标宋简体"/>
          <w:b/>
          <w:bCs/>
          <w:color w:val="2B2B2B"/>
          <w:sz w:val="44"/>
          <w:szCs w:val="44"/>
        </w:rPr>
        <w:t>培训费管理实施细则</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第一章 总 则</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第一条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为进一步加强我院培训费管理，提高培训效率和质量，节约培训费开支，根据《党政机关厉行节约反对浪费条例》以及《山东省省直机关培训费管理办法》（鲁办发[2014]6号），制定本细则。</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本细则适用于学院各部门。</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本办法所称培训是指学院各部门在境内举办的三个月以内的各类培训，包括岗位培训、任职培训、专门业务培训、初任培训等。</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各部门举办培训应当坚持厉行节约、反对浪费的原则，实行内部统一管理，增强培训的针对性和实效性，确保培训质量，节约培训资源，提高培训经费使用效益。</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第二章 计划与备案管理</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第五条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建立培训计划编报和审批制度。各部门制订的年度培训计划（包括培训名称、对象、内容、时间、地点、参训人数、所需经费及列支渠道等），经财务部门审核后，报学院院长办公会议或党委会议批准。</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第六条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年度培训计划一经批准，原则上不得调整。因工作需要确需临时增加培训及调整预算的，报学院主要负责同志审批。</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第七条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各部门要在每年9月底前将下一年度培训计划同时报送组织人事部门备案。</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第三章 开支范围与标准</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第八条</w:t>
      </w:r>
      <w:r>
        <w:rPr>
          <w:rFonts w:hint="eastAsia"/>
          <w:color w:val="2B2B2B"/>
          <w:sz w:val="28"/>
          <w:szCs w:val="28"/>
        </w:rPr>
        <w:t xml:space="preserve"> 培</w:t>
      </w:r>
      <w:r>
        <w:rPr>
          <w:rFonts w:hint="eastAsia" w:ascii="方正仿宋_GB2312" w:hAnsi="方正仿宋_GB2312" w:eastAsia="方正仿宋_GB2312" w:cs="方正仿宋_GB2312"/>
          <w:color w:val="2B2B2B"/>
          <w:kern w:val="0"/>
          <w:sz w:val="32"/>
          <w:szCs w:val="32"/>
          <w:lang w:val="en-US" w:eastAsia="zh-CN" w:bidi="ar-SA"/>
        </w:rPr>
        <w:t>训费是指各部门开展培训直接发生的各项费用支出，包括住宿费、伙食费、培训场地费、讲课费、培训资料费、交通费、其他费用。</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（一）住宿费是指参训人员及工作人员培训期间发生的租住房间的费用。</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（二）伙食费是指参训人员及工作人员培训期间发生的用餐费用。</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（三）培训场地费是指用于培训的会议室或教室租金。</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（四）讲课费是指聘请师资授课所支付的必要报酬。</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（五）培训资料费是指培训期间必要的资料及办公用品费。</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（六）交通费是指用于接送以及统一组织的与培训有关的考察、调研等发生的交通支出。</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（七）其他费用是指现场教学费、文体活动费、医药费以及授课教师交通、食宿等支出。</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第九条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培训费实行综合定额标准，分项核定、总额控制。综合定额标准如下：</w:t>
      </w:r>
    </w:p>
    <w:p>
      <w:pPr>
        <w:pStyle w:val="9"/>
        <w:spacing w:before="0" w:beforeAutospacing="0" w:after="0" w:afterAutospacing="0"/>
        <w:ind w:firstLine="6118" w:firstLineChars="2185"/>
        <w:rPr>
          <w:rFonts w:hint="eastAsia"/>
          <w:color w:val="2B2B2B"/>
          <w:sz w:val="28"/>
          <w:szCs w:val="28"/>
        </w:rPr>
      </w:pPr>
      <w:r>
        <w:rPr>
          <w:rFonts w:hint="eastAsia"/>
          <w:color w:val="2B2B2B"/>
          <w:sz w:val="28"/>
          <w:szCs w:val="28"/>
        </w:rPr>
        <w:t>单位：元/人天</w:t>
      </w:r>
    </w:p>
    <w:tbl>
      <w:tblPr>
        <w:tblStyle w:val="1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296"/>
        <w:gridCol w:w="2222"/>
        <w:gridCol w:w="314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1" w:hRule="atLeast"/>
        </w:trPr>
        <w:tc>
          <w:tcPr>
            <w:tcW w:w="1222" w:type="dxa"/>
            <w:noWrap w:val="0"/>
            <w:vAlign w:val="center"/>
          </w:tcPr>
          <w:p>
            <w:pPr>
              <w:pStyle w:val="9"/>
              <w:spacing w:before="0" w:beforeAutospacing="0" w:after="0" w:afterAutospacing="0"/>
              <w:jc w:val="center"/>
              <w:rPr>
                <w:rFonts w:hint="eastAsia"/>
                <w:color w:val="2B2B2B"/>
                <w:sz w:val="28"/>
                <w:szCs w:val="28"/>
              </w:rPr>
            </w:pPr>
            <w:r>
              <w:rPr>
                <w:rFonts w:hint="eastAsia"/>
                <w:color w:val="2B2B2B"/>
                <w:sz w:val="28"/>
                <w:szCs w:val="28"/>
              </w:rPr>
              <w:t>住宿费</w:t>
            </w:r>
          </w:p>
        </w:tc>
        <w:tc>
          <w:tcPr>
            <w:tcW w:w="1296" w:type="dxa"/>
            <w:noWrap w:val="0"/>
            <w:vAlign w:val="center"/>
          </w:tcPr>
          <w:p>
            <w:pPr>
              <w:pStyle w:val="9"/>
              <w:spacing w:before="0" w:beforeAutospacing="0" w:after="0" w:afterAutospacing="0"/>
              <w:jc w:val="center"/>
              <w:rPr>
                <w:rFonts w:hint="eastAsia"/>
                <w:color w:val="2B2B2B"/>
                <w:sz w:val="28"/>
                <w:szCs w:val="28"/>
              </w:rPr>
            </w:pPr>
            <w:r>
              <w:rPr>
                <w:rFonts w:hint="eastAsia"/>
                <w:color w:val="2B2B2B"/>
                <w:sz w:val="28"/>
                <w:szCs w:val="28"/>
              </w:rPr>
              <w:t>伙食费</w:t>
            </w:r>
          </w:p>
        </w:tc>
        <w:tc>
          <w:tcPr>
            <w:tcW w:w="2222" w:type="dxa"/>
            <w:noWrap w:val="0"/>
            <w:vAlign w:val="center"/>
          </w:tcPr>
          <w:p>
            <w:pPr>
              <w:pStyle w:val="9"/>
              <w:spacing w:before="0" w:beforeAutospacing="0" w:after="0" w:afterAutospacing="0"/>
              <w:jc w:val="center"/>
              <w:rPr>
                <w:rFonts w:hint="eastAsia"/>
                <w:color w:val="2B2B2B"/>
                <w:sz w:val="28"/>
                <w:szCs w:val="28"/>
              </w:rPr>
            </w:pPr>
            <w:r>
              <w:rPr>
                <w:rFonts w:hint="eastAsia"/>
                <w:color w:val="2B2B2B"/>
                <w:sz w:val="28"/>
                <w:szCs w:val="28"/>
              </w:rPr>
              <w:t>场地费和讲课费</w:t>
            </w:r>
          </w:p>
        </w:tc>
        <w:tc>
          <w:tcPr>
            <w:tcW w:w="3148" w:type="dxa"/>
            <w:noWrap w:val="0"/>
            <w:vAlign w:val="center"/>
          </w:tcPr>
          <w:p>
            <w:pPr>
              <w:pStyle w:val="9"/>
              <w:spacing w:before="0" w:beforeAutospacing="0" w:after="0" w:afterAutospacing="0"/>
              <w:jc w:val="center"/>
              <w:rPr>
                <w:rFonts w:hint="eastAsia"/>
                <w:color w:val="2B2B2B"/>
                <w:sz w:val="28"/>
                <w:szCs w:val="28"/>
              </w:rPr>
            </w:pPr>
            <w:r>
              <w:rPr>
                <w:rFonts w:hint="eastAsia"/>
                <w:color w:val="2B2B2B"/>
                <w:sz w:val="28"/>
                <w:szCs w:val="28"/>
              </w:rPr>
              <w:t>资料费、交通费和其他费用</w:t>
            </w:r>
          </w:p>
        </w:tc>
        <w:tc>
          <w:tcPr>
            <w:tcW w:w="878" w:type="dxa"/>
            <w:noWrap w:val="0"/>
            <w:vAlign w:val="center"/>
          </w:tcPr>
          <w:p>
            <w:pPr>
              <w:pStyle w:val="9"/>
              <w:spacing w:before="0" w:beforeAutospacing="0" w:after="0" w:afterAutospacing="0"/>
              <w:jc w:val="center"/>
              <w:rPr>
                <w:rFonts w:hint="eastAsia"/>
                <w:color w:val="2B2B2B"/>
                <w:sz w:val="28"/>
                <w:szCs w:val="28"/>
              </w:rPr>
            </w:pPr>
            <w:r>
              <w:rPr>
                <w:rFonts w:hint="eastAsia"/>
                <w:color w:val="2B2B2B"/>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1222" w:type="dxa"/>
            <w:noWrap w:val="0"/>
            <w:vAlign w:val="center"/>
          </w:tcPr>
          <w:p>
            <w:pPr>
              <w:pStyle w:val="9"/>
              <w:spacing w:before="0" w:beforeAutospacing="0" w:after="0" w:afterAutospacing="0"/>
              <w:jc w:val="center"/>
              <w:rPr>
                <w:rFonts w:hint="eastAsia"/>
                <w:color w:val="2B2B2B"/>
                <w:sz w:val="28"/>
                <w:szCs w:val="28"/>
              </w:rPr>
            </w:pPr>
            <w:r>
              <w:rPr>
                <w:rFonts w:hint="eastAsia"/>
                <w:color w:val="2B2B2B"/>
                <w:sz w:val="28"/>
                <w:szCs w:val="28"/>
              </w:rPr>
              <w:t>160</w:t>
            </w:r>
          </w:p>
        </w:tc>
        <w:tc>
          <w:tcPr>
            <w:tcW w:w="1296" w:type="dxa"/>
            <w:noWrap w:val="0"/>
            <w:vAlign w:val="center"/>
          </w:tcPr>
          <w:p>
            <w:pPr>
              <w:pStyle w:val="9"/>
              <w:spacing w:before="0" w:beforeAutospacing="0" w:after="0" w:afterAutospacing="0"/>
              <w:jc w:val="center"/>
              <w:rPr>
                <w:rFonts w:hint="eastAsia"/>
                <w:color w:val="2B2B2B"/>
                <w:sz w:val="28"/>
                <w:szCs w:val="28"/>
              </w:rPr>
            </w:pPr>
            <w:r>
              <w:rPr>
                <w:rFonts w:hint="eastAsia"/>
                <w:color w:val="2B2B2B"/>
                <w:sz w:val="28"/>
                <w:szCs w:val="28"/>
              </w:rPr>
              <w:t>100</w:t>
            </w:r>
          </w:p>
        </w:tc>
        <w:tc>
          <w:tcPr>
            <w:tcW w:w="2222" w:type="dxa"/>
            <w:noWrap w:val="0"/>
            <w:vAlign w:val="center"/>
          </w:tcPr>
          <w:p>
            <w:pPr>
              <w:pStyle w:val="9"/>
              <w:spacing w:before="0" w:beforeAutospacing="0" w:after="0" w:afterAutospacing="0"/>
              <w:jc w:val="center"/>
              <w:rPr>
                <w:rFonts w:hint="eastAsia"/>
                <w:color w:val="2B2B2B"/>
                <w:sz w:val="28"/>
                <w:szCs w:val="28"/>
              </w:rPr>
            </w:pPr>
            <w:r>
              <w:rPr>
                <w:rFonts w:hint="eastAsia"/>
                <w:color w:val="2B2B2B"/>
                <w:sz w:val="28"/>
                <w:szCs w:val="28"/>
              </w:rPr>
              <w:t>90</w:t>
            </w:r>
          </w:p>
        </w:tc>
        <w:tc>
          <w:tcPr>
            <w:tcW w:w="3148" w:type="dxa"/>
            <w:noWrap w:val="0"/>
            <w:vAlign w:val="center"/>
          </w:tcPr>
          <w:p>
            <w:pPr>
              <w:pStyle w:val="9"/>
              <w:spacing w:before="0" w:beforeAutospacing="0" w:after="0" w:afterAutospacing="0"/>
              <w:jc w:val="center"/>
              <w:rPr>
                <w:rFonts w:hint="eastAsia"/>
                <w:color w:val="2B2B2B"/>
                <w:sz w:val="28"/>
                <w:szCs w:val="28"/>
              </w:rPr>
            </w:pPr>
            <w:r>
              <w:rPr>
                <w:rFonts w:hint="eastAsia"/>
                <w:color w:val="2B2B2B"/>
                <w:sz w:val="28"/>
                <w:szCs w:val="28"/>
              </w:rPr>
              <w:t>50</w:t>
            </w:r>
          </w:p>
        </w:tc>
        <w:tc>
          <w:tcPr>
            <w:tcW w:w="878" w:type="dxa"/>
            <w:noWrap w:val="0"/>
            <w:vAlign w:val="center"/>
          </w:tcPr>
          <w:p>
            <w:pPr>
              <w:pStyle w:val="9"/>
              <w:spacing w:before="0" w:beforeAutospacing="0" w:after="0" w:afterAutospacing="0"/>
              <w:jc w:val="center"/>
              <w:rPr>
                <w:rFonts w:hint="eastAsia"/>
                <w:color w:val="2B2B2B"/>
                <w:sz w:val="28"/>
                <w:szCs w:val="28"/>
              </w:rPr>
            </w:pPr>
            <w:r>
              <w:rPr>
                <w:rFonts w:hint="eastAsia"/>
                <w:color w:val="2B2B2B"/>
                <w:sz w:val="28"/>
                <w:szCs w:val="28"/>
              </w:rPr>
              <w:t>400</w:t>
            </w:r>
          </w:p>
        </w:tc>
      </w:tr>
    </w:tbl>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综合定额标准是培训费开支的上限，各项费用之间可以调剂使用。各单位应在综合定额标准以内结算报销。</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15天以内的培训按照综合定额标准控制；超过15天的培训，超过天数按照综合定额标准的80%控制；超过30天的培训，超过天数按照综合定额标准的70%控制。上述天数含报到撤离时间，报到和撤离时间分别不得超过1天。</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培训应当充分利用学院内部培训场所举办。</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第十条 </w:t>
      </w:r>
      <w:r>
        <w:rPr>
          <w:rFonts w:hint="eastAsia" w:ascii="方正仿宋_GB2312" w:hAnsi="方正仿宋_GB2312" w:eastAsia="方正仿宋_GB2312" w:cs="方正仿宋_GB2312"/>
          <w:color w:val="2B2B2B"/>
          <w:kern w:val="0"/>
          <w:sz w:val="32"/>
          <w:szCs w:val="32"/>
          <w:lang w:val="en-US" w:eastAsia="zh-CN" w:bidi="ar-SA"/>
        </w:rPr>
        <w:t>讲课费执行以下标准（税后）：</w:t>
      </w:r>
    </w:p>
    <w:p>
      <w:pPr>
        <w:pStyle w:val="9"/>
        <w:numPr>
          <w:ilvl w:val="0"/>
          <w:numId w:val="1"/>
        </w:numPr>
        <w:spacing w:before="0" w:beforeAutospacing="0" w:after="0" w:afterAutospacing="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初级技术职称专业人员每半天不超过300元；</w:t>
      </w:r>
    </w:p>
    <w:p>
      <w:pPr>
        <w:pStyle w:val="9"/>
        <w:numPr>
          <w:ilvl w:val="0"/>
          <w:numId w:val="1"/>
        </w:numPr>
        <w:spacing w:before="0" w:beforeAutospacing="0" w:after="0" w:afterAutospacing="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中级技术职称专业人员每半天不超过600元；</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（三）副高级技术职称专业人员每半天最高不超过1000元；</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（四）正高级技术职称专业人员每半天最高不超过2000元；</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（五）院士、全国知名专家每半天一般不超过3000元。</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其他人员讲课参照上述标准执行。</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第四章 培训组织</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第十一条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组织培训的工作人员控制在参训人员数量的5%以内，最多不超过10人。</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第十二条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各部门要严格控制培训经费支出。住宿房间以标准间为主，不得额外配发洗漱用品；用餐安排自助餐或工作餐，不得上高档菜肴，不得提供烟酒；7日以内的培训不得组织调研、考察、参观。</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第十三条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严禁借培训名义安排公款旅游；严禁借培训名义组织会餐或安排宴请；严禁组织高消费娱乐、健身活动。</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第十四条 </w:t>
      </w:r>
      <w:r>
        <w:rPr>
          <w:rFonts w:hint="eastAsia" w:ascii="方正仿宋_GB2312" w:hAnsi="方正仿宋_GB2312" w:eastAsia="方正仿宋_GB2312" w:cs="方正仿宋_GB2312"/>
          <w:color w:val="2B2B2B"/>
          <w:kern w:val="0"/>
          <w:sz w:val="32"/>
          <w:szCs w:val="32"/>
          <w:lang w:val="en-US" w:eastAsia="zh-CN" w:bidi="ar-SA"/>
        </w:rPr>
        <w:t>组织培训应尽量利用网络、视频等信息化手段，降低培训成本，提高培训效率。</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第五章 报销结算</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第十五条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培训费由培训举办部门承担，纳入职能专项预算管理，所需经费按照综合预算要求，原则上通过非税收入或专项经费统筹解决。</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第十六条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各主办处室负责同志对发生的培训费的真实性负责。培训结束后，要及时办理报销手续。报销培训费应当提供培训通知、实际参训人员签到表、讲课费签收单等凭证，所有单据由经办人签字确认，主办处室主要负责人审核把关并签字确认。</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财务部门应当严格按照规定审核培训费开支，对未履行审批备案程序的培训以及超范围、超标准开支的费用不予报销。</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严禁使用培训费购置电脑、复印机、打印机、传真机等固定资产以及开支与培训无关的其他费用；严禁在培训费中列支公务接待费、会议费；严禁套取培训费设立“小金库”。</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第十七条 </w:t>
      </w:r>
      <w:r>
        <w:rPr>
          <w:rFonts w:hint="eastAsia" w:ascii="方正仿宋_GB2312" w:hAnsi="方正仿宋_GB2312" w:eastAsia="方正仿宋_GB2312" w:cs="方正仿宋_GB2312"/>
          <w:color w:val="2B2B2B"/>
          <w:kern w:val="0"/>
          <w:sz w:val="32"/>
          <w:szCs w:val="32"/>
          <w:lang w:val="en-US" w:eastAsia="zh-CN" w:bidi="ar-SA"/>
        </w:rPr>
        <w:t>讲课费、小额零星开支以外的培训费用，应当按照国库集中支付和公务卡管理有关制度执行，采用银行转账或公务卡方式结算，不得以现金方式支付。</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第十八条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培训费在《政府收支分类科目》规定的“商品和服务支出”类“培训费”款级经济科目中列支。</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第六章 监督检查</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第十九条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承担培训任务的部门应当将培训项目、内容、人数、经费等情况在单位内部公示，具备条件的要向社会公开。</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培训主办处室应当于每年2月底前将上年度培训计划执行情况报送组织人事部门。报送内容包括培训名称、主要内容、时间、地点、培训对象及人数、工作人员数、经费开支及列支渠道、培训成效等。</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第二十一条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学院纪委、组织人事处、审计等有关部门对各单位培训活动和培训费管理使用情况进行监督检查。主要内容包括：</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（一）培训计划的编报是否符合规定；</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（二）培训费开支范围和开支标准是否符合规定；</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（三）培训费报销和支付是否符合规定；</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（四）是否存在虚报培训费用的行为；</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（五）是否存在转嫁、摊派培训费用的行为；</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（六）是否存在向参训人员乱收费的行为；</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（七）是否存在其他违反本办法的行为。</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第二十二条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对于检查中发现的违反本办法的行为，由学院纪委等有关部门责令改正，追回资金，并予以通报；对相关责任人员，按规定予以党纪政纪处分；涉嫌犯罪的，按有关规定依法处理。</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第七章 附 则</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第二十三条</w:t>
      </w:r>
      <w:r>
        <w:rPr>
          <w:rFonts w:hint="eastAsia"/>
          <w:color w:val="2B2B2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本办法由组织人事处会同财务审计处负责解释。</w:t>
      </w:r>
    </w:p>
    <w:p>
      <w:pPr>
        <w:pStyle w:val="9"/>
        <w:spacing w:before="0" w:beforeAutospacing="0" w:after="0" w:afterAutospacing="0"/>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第二十四条 </w:t>
      </w:r>
      <w:r>
        <w:rPr>
          <w:rFonts w:hint="eastAsia" w:ascii="方正仿宋_GB2312" w:hAnsi="方正仿宋_GB2312" w:eastAsia="方正仿宋_GB2312" w:cs="方正仿宋_GB2312"/>
          <w:color w:val="2B2B2B"/>
          <w:kern w:val="0"/>
          <w:sz w:val="32"/>
          <w:szCs w:val="32"/>
          <w:lang w:val="en-US" w:eastAsia="zh-CN" w:bidi="ar-SA"/>
        </w:rPr>
        <w:t>本细则自发布之日起施行。</w:t>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Fonts w:ascii="宋体" w:hAnsi="宋体"/>
          <w:b/>
          <w:color w:val="000000"/>
          <w:kern w:val="0"/>
          <w:sz w:val="32"/>
          <w:szCs w:val="32"/>
        </w:rPr>
        <w:br w:type="page"/>
      </w:r>
      <w:r>
        <w:rPr>
          <w:rStyle w:val="13"/>
          <w:rFonts w:hint="eastAsia" w:ascii="方正小标宋简体" w:hAnsi="方正小标宋简体" w:eastAsia="方正小标宋简体" w:cs="方正小标宋简体"/>
          <w:b/>
          <w:bCs/>
          <w:color w:val="2B2B2B"/>
          <w:sz w:val="44"/>
          <w:szCs w:val="44"/>
        </w:rPr>
        <w:t>山东旅游职业学院</w:t>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Style w:val="13"/>
          <w:rFonts w:hint="eastAsia" w:ascii="方正小标宋简体" w:hAnsi="方正小标宋简体" w:eastAsia="方正小标宋简体" w:cs="方正小标宋简体"/>
          <w:b/>
          <w:bCs/>
          <w:color w:val="2B2B2B"/>
          <w:sz w:val="44"/>
          <w:szCs w:val="44"/>
        </w:rPr>
        <w:t>因公临时出国经费管理实施细则</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第一条</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为</w:t>
      </w:r>
      <w:r>
        <w:rPr>
          <w:rFonts w:hint="eastAsia" w:ascii="方正仿宋_GB2312" w:hAnsi="方正仿宋_GB2312" w:eastAsia="方正仿宋_GB2312" w:cs="方正仿宋_GB2312"/>
          <w:color w:val="2B2B2B"/>
          <w:kern w:val="0"/>
          <w:sz w:val="32"/>
          <w:szCs w:val="32"/>
          <w:lang w:val="en-US" w:eastAsia="zh-CN" w:bidi="ar-SA"/>
        </w:rPr>
        <w:t>进一步规范因公临时出国经费管理，加强预算监督，提高资金使用效益，保证外事工作顺利开</w:t>
      </w:r>
      <w:r>
        <w:rPr>
          <w:rFonts w:hint="eastAsia" w:ascii="方正仿宋_GB2312" w:hAnsi="方正仿宋_GB2312" w:eastAsia="方正仿宋_GB2312" w:cs="方正仿宋_GB2312"/>
          <w:color w:val="2B2B2B"/>
          <w:kern w:val="0"/>
          <w:sz w:val="32"/>
          <w:szCs w:val="32"/>
          <w:lang w:val="en-US" w:eastAsia="zh-CN" w:bidi="ar-SA"/>
        </w:rPr>
        <w:t xml:space="preserve">展，根据《党政机关厉行节约反对浪费条例》、《山东省因公临时出国经费管理实施办法》（鲁财行〔2014〕1 号）等有关规定，制定本实施细则。 </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本实施细则适用于学院各部门。</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第三条</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因公临时出国经费全部纳入预算管理，严格控制因公临时出国经费总额，科学合理地安排因公临时出国经费预算。不得超预算或无预算安排出访团组。</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第四条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出访团组实行审批管理，并按照下列规定执行：</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（一）认真贯彻外事管理规定，科学制订年度因公临时出国计划，认真履行因公临时出国计划报批制度，严格控制因公临时出国团组人数、国家数和在外停留天数，正确执行限量管理规定。</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（二）因公临时出国坚持因事定人的原则，不得因人找事，不得安排照顾性和无实质内容的一般性出访，不得安排考察性出访。</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第五条</w:t>
      </w:r>
      <w:r>
        <w:rPr>
          <w:rFonts w:hint="eastAsia" w:ascii="方正仿宋_GB2312" w:hAnsi="方正仿宋_GB2312" w:eastAsia="方正仿宋_GB2312" w:cs="方正仿宋_GB2312"/>
          <w:color w:val="2B2B2B"/>
          <w:kern w:val="0"/>
          <w:sz w:val="32"/>
          <w:szCs w:val="32"/>
          <w:lang w:val="en-US" w:eastAsia="zh-CN" w:bidi="ar-SA"/>
        </w:rPr>
        <w:t xml:space="preserve">  出国经费的支付，严格按照国库集中支付制度和公务卡管理制度有关规定执行。</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严格执行各项经费开支标准，不得擅自突破，严禁接受或变相接受其他单位资助，严禁摊派或转嫁出访费用。</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第六条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建立因公临时出国计划与财务管理的内部控制制度。出访团组应当事先填报《因公临时出国任务和预算审批意见表》（见附件 1），由组织人事处和财务部门分别出具审签意见，出国任务、出国经费预算未通过审核的，不得安排出访团组。</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第七条</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因公临时出国经费包括：国际旅费、国外城市间交通费、住宿费、伙食费、公杂费和其他费用。</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国际旅费，是指出境口岸至入境口岸旅费。</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国外城市间交通费，是指为完成工作任务所发生的，在出访国家的城市之间的交通费用。</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住宿费是指出国人员在国外发生的住宿费用。</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伙食费是指出国人员在国外期间的日常伙食费用。</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公杂费是指出国人员在国外期间的市内交通、邮电、办公用品、必要的小费等费用。</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其他费用主要是指出国签证费用、必需的保险费用、防疫费用、国际会议注册费用等。</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第八条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国际旅费按照下列规定执行：</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选择经济合理的路线。出国人员应当优先选择由我国航空公司运营的国际航线，由于航班衔接等原因确需选择外国航空公司航线的，应当事先报经单位审批同意。不得以任何理由绕道旅行，或以过境名义变相增加出访国家和时间。</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（二）按照经济适用的原则，通过政府采购等方式，选择优惠票价，并尽可能购买往返机票。</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（三）因公临时出国购买机票，机票款通过公务卡或银行转账方式支付，不得以现金支付。财务部门根据《航空运输电子客票行程单》等有效票据注明的金额予以报销。</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出国人员应当严格按照规定安排交通工具，厅局级人员可以乘坐飞机公务舱、轮船二等舱、火车软卧或全列软席列车的一等座；其他人员均乘坐飞机经济舱、轮船三等舱、火车硬卧或全列软席列车的二等座。所乘交通工具舱位等级划分与以上不一致的，可乘坐同等水平的舱位。所乘交通工具未设置上述规定中本级别人员可乘坐舱位等级的，应当乘坐低一等级舱位。上述人员发生的国际旅费据实报销。</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（五）出国人员乘坐国际列车，国内段按国内差旅费有关规定执行；国外段超过 6 小时以上的按自然（日历）天数计算，每人每天补助 12 美元。</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第九条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出国人员根据出访任务需要在一个国家城市间往来，应当在出国计划中列明；未列入出国计划、未经批准的，不得在国外城市间往来。出国人员必须按照批准的旅程计划执行，其城市间交通费凭有效原始票据据实报销。</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住宿费按照下列规定执行：</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（一）出国人员应当严格按照规定安排住宿，厅局级及以下人员安排标准间，在规定的住宿费标准之内予以报销。</w:t>
      </w:r>
    </w:p>
    <w:p>
      <w:pPr>
        <w:autoSpaceDE w:val="0"/>
        <w:autoSpaceDN w:val="0"/>
        <w:adjustRightInd w:val="0"/>
        <w:ind w:firstLine="640" w:firstLineChars="200"/>
        <w:jc w:val="left"/>
        <w:rPr>
          <w:rFonts w:hint="eastAsia" w:ascii="宋体" w:hAnsi="宋体" w:cs="fangsong_gb2312"/>
          <w:color w:val="000000"/>
          <w:kern w:val="0"/>
          <w:sz w:val="28"/>
          <w:szCs w:val="28"/>
        </w:rPr>
      </w:pPr>
      <w:r>
        <w:rPr>
          <w:rFonts w:hint="eastAsia" w:ascii="方正仿宋_GB2312" w:hAnsi="方正仿宋_GB2312" w:eastAsia="方正仿宋_GB2312" w:cs="方正仿宋_GB2312"/>
          <w:color w:val="2B2B2B"/>
          <w:kern w:val="0"/>
          <w:sz w:val="32"/>
          <w:szCs w:val="32"/>
          <w:lang w:val="en-US" w:eastAsia="zh-CN" w:bidi="ar-SA"/>
        </w:rPr>
        <w:t>（二）参加国际会议等的出国人员，原则上应当按照住宿费标准执行。如对方组织单位指定或推荐酒店，应当通过询价方式从紧安排，超出费用标准的，经事先批准后住宿费可据实报销。</w:t>
      </w:r>
      <w:r>
        <w:rPr>
          <w:rFonts w:hint="eastAsia" w:ascii="宋体" w:hAnsi="宋体" w:cs="fangsong_gb2312"/>
          <w:color w:val="000000"/>
          <w:kern w:val="0"/>
          <w:sz w:val="28"/>
          <w:szCs w:val="28"/>
        </w:rPr>
        <w:t xml:space="preserve"> </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第十一条 </w:t>
      </w:r>
      <w:r>
        <w:rPr>
          <w:rFonts w:hint="eastAsia" w:ascii="方正仿宋_GB2312" w:hAnsi="方正仿宋_GB2312" w:eastAsia="方正仿宋_GB2312" w:cs="方正仿宋_GB2312"/>
          <w:color w:val="2B2B2B"/>
          <w:kern w:val="0"/>
          <w:sz w:val="32"/>
          <w:szCs w:val="32"/>
          <w:lang w:val="en-US" w:eastAsia="zh-CN" w:bidi="ar-SA"/>
        </w:rPr>
        <w:t xml:space="preserve"> </w:t>
      </w:r>
      <w:r>
        <w:rPr>
          <w:rFonts w:hint="eastAsia" w:ascii="方正仿宋_GB2312" w:hAnsi="方正仿宋_GB2312" w:eastAsia="方正仿宋_GB2312" w:cs="方正仿宋_GB2312"/>
          <w:color w:val="2B2B2B"/>
          <w:kern w:val="0"/>
          <w:sz w:val="32"/>
          <w:szCs w:val="32"/>
          <w:lang w:val="en-US" w:eastAsia="zh-CN" w:bidi="ar-SA"/>
        </w:rPr>
        <w:t>伙食费和公杂费按照下列规定执行：</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（一）出国人员伙食费、公杂费可以按规定的标准发给个人包干使用。包干天数按离、抵我国国境之日计算。</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（二）根据工作需要和特点，不宜个人包干的出访团组，其伙食费和公杂费由出访团组统一掌握，包干使用。</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（三）外方以现金或实物形式提供伙食费和公杂费接待的，出国人员不再领伙食费和公杂费。</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（四）出访用餐应当勤俭节约，不上高档菜肴和酒水，自助餐也要注意节俭。</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第十二条 </w:t>
      </w:r>
      <w:r>
        <w:rPr>
          <w:rFonts w:hint="eastAsia" w:ascii="方正仿宋_GB2312" w:hAnsi="方正仿宋_GB2312" w:eastAsia="方正仿宋_GB2312" w:cs="方正仿宋_GB2312"/>
          <w:color w:val="2B2B2B"/>
          <w:kern w:val="0"/>
          <w:sz w:val="32"/>
          <w:szCs w:val="32"/>
          <w:lang w:val="en-US" w:eastAsia="zh-CN" w:bidi="ar-SA"/>
        </w:rPr>
        <w:t xml:space="preserve"> 出访团组对外原则上不搞宴请，确需宴请的，应当连同出国计划一并报批，宴请标准按照所在国家一人一天的伙食费标准掌握。</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出访团组与我国驻外使领馆等外交机构和其他中资机构、企业之间一律不得用公款相互宴请。</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第十三条  </w:t>
      </w:r>
      <w:r>
        <w:rPr>
          <w:rFonts w:hint="eastAsia" w:ascii="方正仿宋_GB2312" w:hAnsi="方正仿宋_GB2312" w:eastAsia="方正仿宋_GB2312" w:cs="方正仿宋_GB2312"/>
          <w:color w:val="2B2B2B"/>
          <w:kern w:val="0"/>
          <w:sz w:val="32"/>
          <w:szCs w:val="32"/>
          <w:lang w:val="en-US" w:eastAsia="zh-CN" w:bidi="ar-SA"/>
        </w:rPr>
        <w:t>出访团组在国外期间，收授礼品应当严格按有关规定执行。原则上不对外赠送礼品，确有必要赠送的，应当事先报经单位审批同意，按照厉行节俭的原则，选择具有民族特色的纪念品、传统手工艺品和实用物品，朴素大方，不求奢华。</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出访团组与我国驻外使领馆等外交机构和其他中资机构、企业之间一律不得以任何名义、任何方式互赠公费支付的礼品或纪念品。</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第十四条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出国签证费用、防疫费用、国际会议注册费用等凭有效原始票据据实报销。根据到访国要求，出国人员必须购买保险的，按照到访国驻华使领馆要求购买，凭有效原始票据据实报销。</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第十五条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出国人员回国报销费用时，须凭有效票据填报有团组负责人审核签字的国外费用报销单。各种报销凭证须用中文注明开支内容、日期、数量、金额等，并由经办人签字。</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财务部门根据对因公临时出国团组提交的出国任务批件、护照（包括签证和出入境记录）复印件及有效费用明细票据进行认真审核，严格按照批准的出国团组人员、天数、路线、经费预算及开支标准核销经费，不得核销与出访任务无关支出。  </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第十六条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各部门根据出国经费预算，结合实际购汇需求，自主核定购汇数额，通过财政部门批准的人民币资金账户，向外汇指定银行购买外汇。</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第十七条</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 严格按照预算绩效管理的有关规定，加强因公临时出国经费预算绩效评价，切实提高预算资金的使用效益。</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第十八条</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对出国人员违反本实施办法规定，有下列行为之一的，除相关开支一律不予报销外，按照《财政违法行为处罚处分条例》等有关规定严肃处理，并追究有关人员责任：</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（一）违规扩大出国经费开支范围的；</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（二）擅自提高经费开支标准的；</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（三）虚报团组级别、人数、国家数、天数等，套取出国经费的；</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（四）使用虚假发票报销出国费用的；</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（五）其他违反本实施细则的行为。</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第十九条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因公临时赴香港、澳门、台湾地区的，适用本实施办法。</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第二十条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本实施办法由组织人事处会同财务审计处负责解释。</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第二十一条 </w:t>
      </w:r>
      <w:r>
        <w:rPr>
          <w:rFonts w:hint="eastAsia" w:ascii="宋体" w:hAnsi="宋体" w:cs="fangsong_gb2312"/>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本实施细则自发布之日起施行。其它有关规定与本实施细则不一致的，按照本实施细则执行。</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附件：1.因公临时出国（境）任务和预算审批意见表</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      2.各国家和地区住宿费、伙食费、公杂费开支标准表</w:t>
      </w:r>
    </w:p>
    <w:p>
      <w:pPr>
        <w:autoSpaceDE w:val="0"/>
        <w:autoSpaceDN w:val="0"/>
        <w:adjustRightInd w:val="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p>
    <w:p>
      <w:pPr>
        <w:autoSpaceDE w:val="0"/>
        <w:autoSpaceDN w:val="0"/>
        <w:adjustRightInd w:val="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附件1：</w:t>
      </w:r>
    </w:p>
    <w:p>
      <w:pPr>
        <w:autoSpaceDE w:val="0"/>
        <w:autoSpaceDN w:val="0"/>
        <w:adjustRightInd w:val="0"/>
        <w:jc w:val="center"/>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因公临时出国（境）任务和预算审批意见表</w:t>
      </w:r>
    </w:p>
    <w:tbl>
      <w:tblPr>
        <w:tblStyle w:val="1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309"/>
        <w:gridCol w:w="1431"/>
        <w:gridCol w:w="1011"/>
        <w:gridCol w:w="278"/>
        <w:gridCol w:w="143"/>
        <w:gridCol w:w="955"/>
        <w:gridCol w:w="477"/>
        <w:gridCol w:w="1145"/>
        <w:gridCol w:w="144"/>
        <w:gridCol w:w="98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7" w:hRule="atLeast"/>
        </w:trPr>
        <w:tc>
          <w:tcPr>
            <w:tcW w:w="1376" w:type="dxa"/>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部门</w:t>
            </w:r>
          </w:p>
        </w:tc>
        <w:tc>
          <w:tcPr>
            <w:tcW w:w="2751" w:type="dxa"/>
            <w:gridSpan w:val="3"/>
            <w:noWrap w:val="0"/>
            <w:vAlign w:val="center"/>
          </w:tcPr>
          <w:p>
            <w:pPr>
              <w:autoSpaceDE w:val="0"/>
              <w:autoSpaceDN w:val="0"/>
              <w:adjustRightInd w:val="0"/>
              <w:rPr>
                <w:rFonts w:hint="eastAsia" w:ascii="宋体" w:hAnsi="宋体" w:cs="fangsong_gb2312"/>
                <w:color w:val="000000"/>
                <w:kern w:val="0"/>
                <w:szCs w:val="21"/>
              </w:rPr>
            </w:pPr>
          </w:p>
        </w:tc>
        <w:tc>
          <w:tcPr>
            <w:tcW w:w="1376" w:type="dxa"/>
            <w:gridSpan w:val="3"/>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姓名</w:t>
            </w:r>
          </w:p>
        </w:tc>
        <w:tc>
          <w:tcPr>
            <w:tcW w:w="1622" w:type="dxa"/>
            <w:gridSpan w:val="2"/>
            <w:noWrap w:val="0"/>
            <w:vAlign w:val="center"/>
          </w:tcPr>
          <w:p>
            <w:pPr>
              <w:autoSpaceDE w:val="0"/>
              <w:autoSpaceDN w:val="0"/>
              <w:adjustRightInd w:val="0"/>
              <w:rPr>
                <w:rFonts w:hint="eastAsia" w:ascii="宋体" w:hAnsi="宋体" w:cs="fangsong_gb2312"/>
                <w:color w:val="000000"/>
                <w:kern w:val="0"/>
                <w:szCs w:val="21"/>
              </w:rPr>
            </w:pPr>
          </w:p>
        </w:tc>
        <w:tc>
          <w:tcPr>
            <w:tcW w:w="1129" w:type="dxa"/>
            <w:gridSpan w:val="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职务</w:t>
            </w:r>
          </w:p>
        </w:tc>
        <w:tc>
          <w:tcPr>
            <w:tcW w:w="1377" w:type="dxa"/>
            <w:noWrap w:val="0"/>
            <w:vAlign w:val="center"/>
          </w:tcPr>
          <w:p>
            <w:pPr>
              <w:autoSpaceDE w:val="0"/>
              <w:autoSpaceDN w:val="0"/>
              <w:adjustRightInd w:val="0"/>
              <w:rPr>
                <w:rFonts w:hint="eastAsia" w:ascii="宋体" w:hAnsi="宋体" w:cs="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1376" w:type="dxa"/>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团组名称</w:t>
            </w:r>
          </w:p>
        </w:tc>
        <w:tc>
          <w:tcPr>
            <w:tcW w:w="8255" w:type="dxa"/>
            <w:gridSpan w:val="11"/>
            <w:noWrap w:val="0"/>
            <w:vAlign w:val="center"/>
          </w:tcPr>
          <w:p>
            <w:pPr>
              <w:autoSpaceDE w:val="0"/>
              <w:autoSpaceDN w:val="0"/>
              <w:adjustRightInd w:val="0"/>
              <w:rPr>
                <w:rFonts w:hint="eastAsia" w:ascii="宋体" w:hAnsi="宋体" w:cs="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1376" w:type="dxa"/>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组团单位</w:t>
            </w:r>
          </w:p>
        </w:tc>
        <w:tc>
          <w:tcPr>
            <w:tcW w:w="2751" w:type="dxa"/>
            <w:gridSpan w:val="3"/>
            <w:noWrap w:val="0"/>
            <w:vAlign w:val="center"/>
          </w:tcPr>
          <w:p>
            <w:pPr>
              <w:autoSpaceDE w:val="0"/>
              <w:autoSpaceDN w:val="0"/>
              <w:adjustRightInd w:val="0"/>
              <w:rPr>
                <w:rFonts w:hint="eastAsia" w:ascii="宋体" w:hAnsi="宋体" w:cs="fangsong_gb2312"/>
                <w:color w:val="000000"/>
                <w:kern w:val="0"/>
                <w:szCs w:val="21"/>
              </w:rPr>
            </w:pPr>
          </w:p>
        </w:tc>
        <w:tc>
          <w:tcPr>
            <w:tcW w:w="1376" w:type="dxa"/>
            <w:gridSpan w:val="3"/>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团长（级别）</w:t>
            </w:r>
          </w:p>
        </w:tc>
        <w:tc>
          <w:tcPr>
            <w:tcW w:w="1622" w:type="dxa"/>
            <w:gridSpan w:val="2"/>
            <w:noWrap w:val="0"/>
            <w:vAlign w:val="center"/>
          </w:tcPr>
          <w:p>
            <w:pPr>
              <w:autoSpaceDE w:val="0"/>
              <w:autoSpaceDN w:val="0"/>
              <w:adjustRightInd w:val="0"/>
              <w:rPr>
                <w:rFonts w:hint="eastAsia" w:ascii="宋体" w:hAnsi="宋体" w:cs="fangsong_gb2312"/>
                <w:color w:val="000000"/>
                <w:kern w:val="0"/>
                <w:szCs w:val="21"/>
              </w:rPr>
            </w:pPr>
          </w:p>
        </w:tc>
        <w:tc>
          <w:tcPr>
            <w:tcW w:w="1129" w:type="dxa"/>
            <w:gridSpan w:val="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团员人数</w:t>
            </w:r>
          </w:p>
        </w:tc>
        <w:tc>
          <w:tcPr>
            <w:tcW w:w="1377" w:type="dxa"/>
            <w:noWrap w:val="0"/>
            <w:vAlign w:val="center"/>
          </w:tcPr>
          <w:p>
            <w:pPr>
              <w:autoSpaceDE w:val="0"/>
              <w:autoSpaceDN w:val="0"/>
              <w:adjustRightInd w:val="0"/>
              <w:rPr>
                <w:rFonts w:hint="eastAsia" w:ascii="宋体" w:hAnsi="宋体" w:cs="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3116" w:type="dxa"/>
            <w:gridSpan w:val="3"/>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出访国别（地区）（含经停）</w:t>
            </w:r>
          </w:p>
        </w:tc>
        <w:tc>
          <w:tcPr>
            <w:tcW w:w="4009" w:type="dxa"/>
            <w:gridSpan w:val="6"/>
            <w:noWrap w:val="0"/>
            <w:vAlign w:val="center"/>
          </w:tcPr>
          <w:p>
            <w:pPr>
              <w:autoSpaceDE w:val="0"/>
              <w:autoSpaceDN w:val="0"/>
              <w:adjustRightInd w:val="0"/>
              <w:rPr>
                <w:rFonts w:hint="eastAsia" w:ascii="宋体" w:hAnsi="宋体" w:cs="fangsong_gb2312"/>
                <w:color w:val="000000"/>
                <w:kern w:val="0"/>
                <w:szCs w:val="21"/>
              </w:rPr>
            </w:pPr>
          </w:p>
        </w:tc>
        <w:tc>
          <w:tcPr>
            <w:tcW w:w="1129" w:type="dxa"/>
            <w:gridSpan w:val="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出访时间（天数）</w:t>
            </w:r>
          </w:p>
        </w:tc>
        <w:tc>
          <w:tcPr>
            <w:tcW w:w="1377" w:type="dxa"/>
            <w:noWrap w:val="0"/>
            <w:vAlign w:val="center"/>
          </w:tcPr>
          <w:p>
            <w:pPr>
              <w:autoSpaceDE w:val="0"/>
              <w:autoSpaceDN w:val="0"/>
              <w:adjustRightInd w:val="0"/>
              <w:rPr>
                <w:rFonts w:hint="eastAsia" w:ascii="宋体" w:hAnsi="宋体" w:cs="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9631" w:type="dxa"/>
            <w:gridSpan w:val="1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是否列入出国计划：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9631" w:type="dxa"/>
            <w:gridSpan w:val="1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时间和国别（地区）是否符合规定：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9631" w:type="dxa"/>
            <w:gridSpan w:val="1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路线是否符合规定：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9631" w:type="dxa"/>
            <w:gridSpan w:val="1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团组人数是否符合规定：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3" w:hRule="atLeast"/>
        </w:trPr>
        <w:tc>
          <w:tcPr>
            <w:tcW w:w="9631" w:type="dxa"/>
            <w:gridSpan w:val="1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是否列入年度预算：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685" w:type="dxa"/>
            <w:gridSpan w:val="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合计（万元，组团单位填团员费用合计）</w:t>
            </w:r>
          </w:p>
        </w:tc>
        <w:tc>
          <w:tcPr>
            <w:tcW w:w="1431" w:type="dxa"/>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国际旅费</w:t>
            </w:r>
          </w:p>
        </w:tc>
        <w:tc>
          <w:tcPr>
            <w:tcW w:w="1432" w:type="dxa"/>
            <w:gridSpan w:val="3"/>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住宿费</w:t>
            </w:r>
          </w:p>
        </w:tc>
        <w:tc>
          <w:tcPr>
            <w:tcW w:w="1431" w:type="dxa"/>
            <w:gridSpan w:val="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伙食费</w:t>
            </w:r>
          </w:p>
        </w:tc>
        <w:tc>
          <w:tcPr>
            <w:tcW w:w="1289" w:type="dxa"/>
            <w:gridSpan w:val="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公杂费</w:t>
            </w:r>
          </w:p>
        </w:tc>
        <w:tc>
          <w:tcPr>
            <w:tcW w:w="2363" w:type="dxa"/>
            <w:gridSpan w:val="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trPr>
        <w:tc>
          <w:tcPr>
            <w:tcW w:w="1685" w:type="dxa"/>
            <w:gridSpan w:val="2"/>
            <w:noWrap w:val="0"/>
            <w:vAlign w:val="top"/>
          </w:tcPr>
          <w:p>
            <w:pPr>
              <w:autoSpaceDE w:val="0"/>
              <w:autoSpaceDN w:val="0"/>
              <w:adjustRightInd w:val="0"/>
              <w:jc w:val="left"/>
              <w:rPr>
                <w:rFonts w:hint="eastAsia" w:ascii="宋体" w:hAnsi="宋体" w:cs="fangsong_gb2312"/>
                <w:color w:val="000000"/>
                <w:kern w:val="0"/>
                <w:szCs w:val="21"/>
              </w:rPr>
            </w:pPr>
          </w:p>
        </w:tc>
        <w:tc>
          <w:tcPr>
            <w:tcW w:w="1431" w:type="dxa"/>
            <w:noWrap w:val="0"/>
            <w:vAlign w:val="top"/>
          </w:tcPr>
          <w:p>
            <w:pPr>
              <w:autoSpaceDE w:val="0"/>
              <w:autoSpaceDN w:val="0"/>
              <w:adjustRightInd w:val="0"/>
              <w:jc w:val="left"/>
              <w:rPr>
                <w:rFonts w:hint="eastAsia" w:ascii="宋体" w:hAnsi="宋体" w:cs="fangsong_gb2312"/>
                <w:color w:val="000000"/>
                <w:kern w:val="0"/>
                <w:szCs w:val="21"/>
              </w:rPr>
            </w:pPr>
          </w:p>
        </w:tc>
        <w:tc>
          <w:tcPr>
            <w:tcW w:w="1432" w:type="dxa"/>
            <w:gridSpan w:val="3"/>
            <w:noWrap w:val="0"/>
            <w:vAlign w:val="top"/>
          </w:tcPr>
          <w:p>
            <w:pPr>
              <w:autoSpaceDE w:val="0"/>
              <w:autoSpaceDN w:val="0"/>
              <w:adjustRightInd w:val="0"/>
              <w:jc w:val="left"/>
              <w:rPr>
                <w:rFonts w:hint="eastAsia" w:ascii="宋体" w:hAnsi="宋体" w:cs="fangsong_gb2312"/>
                <w:color w:val="000000"/>
                <w:kern w:val="0"/>
                <w:szCs w:val="21"/>
              </w:rPr>
            </w:pPr>
          </w:p>
        </w:tc>
        <w:tc>
          <w:tcPr>
            <w:tcW w:w="1431" w:type="dxa"/>
            <w:gridSpan w:val="2"/>
            <w:noWrap w:val="0"/>
            <w:vAlign w:val="top"/>
          </w:tcPr>
          <w:p>
            <w:pPr>
              <w:autoSpaceDE w:val="0"/>
              <w:autoSpaceDN w:val="0"/>
              <w:adjustRightInd w:val="0"/>
              <w:jc w:val="left"/>
              <w:rPr>
                <w:rFonts w:hint="eastAsia" w:ascii="宋体" w:hAnsi="宋体" w:cs="fangsong_gb2312"/>
                <w:color w:val="000000"/>
                <w:kern w:val="0"/>
                <w:szCs w:val="21"/>
              </w:rPr>
            </w:pPr>
          </w:p>
        </w:tc>
        <w:tc>
          <w:tcPr>
            <w:tcW w:w="1289" w:type="dxa"/>
            <w:gridSpan w:val="2"/>
            <w:noWrap w:val="0"/>
            <w:vAlign w:val="top"/>
          </w:tcPr>
          <w:p>
            <w:pPr>
              <w:autoSpaceDE w:val="0"/>
              <w:autoSpaceDN w:val="0"/>
              <w:adjustRightInd w:val="0"/>
              <w:jc w:val="left"/>
              <w:rPr>
                <w:rFonts w:hint="eastAsia" w:ascii="宋体" w:hAnsi="宋体" w:cs="fangsong_gb2312"/>
                <w:color w:val="000000"/>
                <w:kern w:val="0"/>
                <w:szCs w:val="21"/>
              </w:rPr>
            </w:pPr>
          </w:p>
        </w:tc>
        <w:tc>
          <w:tcPr>
            <w:tcW w:w="2363" w:type="dxa"/>
            <w:gridSpan w:val="2"/>
            <w:noWrap w:val="0"/>
            <w:vAlign w:val="top"/>
          </w:tcPr>
          <w:p>
            <w:pPr>
              <w:autoSpaceDE w:val="0"/>
              <w:autoSpaceDN w:val="0"/>
              <w:adjustRightInd w:val="0"/>
              <w:jc w:val="left"/>
              <w:rPr>
                <w:rFonts w:hint="eastAsia" w:ascii="宋体" w:hAnsi="宋体" w:cs="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9631" w:type="dxa"/>
            <w:gridSpan w:val="1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须事先报批的支出事项：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3" w:hRule="atLeast"/>
        </w:trPr>
        <w:tc>
          <w:tcPr>
            <w:tcW w:w="9631" w:type="dxa"/>
            <w:gridSpan w:val="1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2" w:hRule="atLeast"/>
        </w:trPr>
        <w:tc>
          <w:tcPr>
            <w:tcW w:w="1376" w:type="dxa"/>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审核意见</w:t>
            </w:r>
          </w:p>
        </w:tc>
        <w:tc>
          <w:tcPr>
            <w:tcW w:w="1740" w:type="dxa"/>
            <w:gridSpan w:val="2"/>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组织人事处意见</w:t>
            </w:r>
          </w:p>
        </w:tc>
        <w:tc>
          <w:tcPr>
            <w:tcW w:w="1289" w:type="dxa"/>
            <w:gridSpan w:val="2"/>
            <w:noWrap w:val="0"/>
            <w:vAlign w:val="center"/>
          </w:tcPr>
          <w:p>
            <w:pPr>
              <w:autoSpaceDE w:val="0"/>
              <w:autoSpaceDN w:val="0"/>
              <w:adjustRightInd w:val="0"/>
              <w:rPr>
                <w:rFonts w:hint="eastAsia" w:ascii="宋体" w:hAnsi="宋体" w:cs="fangsong_gb2312"/>
                <w:color w:val="000000"/>
                <w:kern w:val="0"/>
                <w:szCs w:val="21"/>
              </w:rPr>
            </w:pPr>
          </w:p>
        </w:tc>
        <w:tc>
          <w:tcPr>
            <w:tcW w:w="1575" w:type="dxa"/>
            <w:gridSpan w:val="3"/>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财务审计处意见</w:t>
            </w:r>
          </w:p>
        </w:tc>
        <w:tc>
          <w:tcPr>
            <w:tcW w:w="1145" w:type="dxa"/>
            <w:noWrap w:val="0"/>
            <w:vAlign w:val="center"/>
          </w:tcPr>
          <w:p>
            <w:pPr>
              <w:autoSpaceDE w:val="0"/>
              <w:autoSpaceDN w:val="0"/>
              <w:adjustRightInd w:val="0"/>
              <w:rPr>
                <w:rFonts w:hint="eastAsia" w:ascii="宋体" w:hAnsi="宋体" w:cs="fangsong_gb2312"/>
                <w:color w:val="000000"/>
                <w:kern w:val="0"/>
                <w:szCs w:val="21"/>
              </w:rPr>
            </w:pPr>
          </w:p>
        </w:tc>
        <w:tc>
          <w:tcPr>
            <w:tcW w:w="2506" w:type="dxa"/>
            <w:gridSpan w:val="3"/>
            <w:noWrap w:val="0"/>
            <w:vAlign w:val="center"/>
          </w:tcPr>
          <w:p>
            <w:pPr>
              <w:autoSpaceDE w:val="0"/>
              <w:autoSpaceDN w:val="0"/>
              <w:adjustRightInd w:val="0"/>
              <w:rPr>
                <w:rFonts w:hint="eastAsia" w:ascii="宋体" w:hAnsi="宋体" w:cs="fangsong_gb2312"/>
                <w:color w:val="000000"/>
                <w:kern w:val="0"/>
                <w:szCs w:val="21"/>
              </w:rPr>
            </w:pPr>
            <w:r>
              <w:rPr>
                <w:rFonts w:hint="eastAsia" w:ascii="宋体" w:hAnsi="宋体" w:cs="fangsong_gb2312"/>
                <w:color w:val="000000"/>
                <w:kern w:val="0"/>
                <w:szCs w:val="21"/>
              </w:rPr>
              <w:t>（单位公章）</w:t>
            </w:r>
          </w:p>
        </w:tc>
      </w:tr>
    </w:tbl>
    <w:p>
      <w:pPr>
        <w:autoSpaceDE w:val="0"/>
        <w:autoSpaceDN w:val="0"/>
        <w:adjustRightInd w:val="0"/>
        <w:ind w:firstLine="480" w:firstLineChars="200"/>
        <w:jc w:val="left"/>
        <w:rPr>
          <w:rFonts w:hint="eastAsia" w:ascii="宋体" w:hAnsi="宋体" w:cs="fangsong_gb2312"/>
          <w:color w:val="000000"/>
          <w:kern w:val="0"/>
          <w:sz w:val="24"/>
        </w:rPr>
      </w:pPr>
    </w:p>
    <w:p>
      <w:pPr>
        <w:autoSpaceDE w:val="0"/>
        <w:autoSpaceDN w:val="0"/>
        <w:adjustRightInd w:val="0"/>
        <w:ind w:firstLine="480" w:firstLineChars="200"/>
        <w:jc w:val="left"/>
        <w:rPr>
          <w:rFonts w:hint="eastAsia" w:ascii="宋体" w:hAnsi="宋体" w:cs="fangsong_gb2312"/>
          <w:color w:val="000000"/>
          <w:kern w:val="0"/>
          <w:sz w:val="24"/>
        </w:rPr>
      </w:pPr>
    </w:p>
    <w:p>
      <w:pPr>
        <w:autoSpaceDE w:val="0"/>
        <w:autoSpaceDN w:val="0"/>
        <w:adjustRightInd w:val="0"/>
        <w:ind w:firstLine="480" w:firstLineChars="200"/>
        <w:jc w:val="left"/>
        <w:rPr>
          <w:rFonts w:hint="eastAsia" w:ascii="宋体" w:hAnsi="宋体" w:cs="fangsong_gb2312"/>
          <w:color w:val="000000"/>
          <w:kern w:val="0"/>
          <w:sz w:val="24"/>
        </w:rPr>
      </w:pPr>
    </w:p>
    <w:p>
      <w:pPr>
        <w:autoSpaceDE w:val="0"/>
        <w:autoSpaceDN w:val="0"/>
        <w:adjustRightInd w:val="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附件2：</w:t>
      </w:r>
    </w:p>
    <w:p>
      <w:pPr>
        <w:autoSpaceDE w:val="0"/>
        <w:autoSpaceDN w:val="0"/>
        <w:adjustRightInd w:val="0"/>
        <w:jc w:val="center"/>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各国家和地区住宿费、伙食费、公杂费开支标准表</w:t>
      </w:r>
    </w:p>
    <w:tbl>
      <w:tblPr>
        <w:tblStyle w:val="10"/>
        <w:tblW w:w="9378" w:type="dxa"/>
        <w:tblInd w:w="93" w:type="dxa"/>
        <w:tblLayout w:type="autofit"/>
        <w:tblCellMar>
          <w:top w:w="0" w:type="dxa"/>
          <w:left w:w="108" w:type="dxa"/>
          <w:bottom w:w="0" w:type="dxa"/>
          <w:right w:w="108" w:type="dxa"/>
        </w:tblCellMar>
      </w:tblPr>
      <w:tblGrid>
        <w:gridCol w:w="760"/>
        <w:gridCol w:w="2018"/>
        <w:gridCol w:w="2140"/>
        <w:gridCol w:w="880"/>
        <w:gridCol w:w="1220"/>
        <w:gridCol w:w="1280"/>
        <w:gridCol w:w="1080"/>
      </w:tblGrid>
      <w:tr>
        <w:tblPrEx>
          <w:tblCellMar>
            <w:top w:w="0" w:type="dxa"/>
            <w:left w:w="108" w:type="dxa"/>
            <w:bottom w:w="0" w:type="dxa"/>
            <w:right w:w="108" w:type="dxa"/>
          </w:tblCellMar>
        </w:tblPrEx>
        <w:trPr>
          <w:wBefore w:w="0" w:type="dxa"/>
          <w:wAfter w:w="0" w:type="dxa"/>
          <w:trHeight w:val="28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Courier New"/>
                <w:b/>
                <w:bCs/>
                <w:color w:val="000000"/>
                <w:kern w:val="0"/>
                <w:sz w:val="22"/>
                <w:szCs w:val="22"/>
              </w:rPr>
            </w:pPr>
            <w:r>
              <w:rPr>
                <w:rFonts w:ascii="宋体" w:hAnsi="宋体" w:cs="Courier New"/>
                <w:b/>
                <w:bCs/>
                <w:color w:val="000000"/>
                <w:kern w:val="0"/>
                <w:sz w:val="22"/>
                <w:szCs w:val="22"/>
              </w:rPr>
              <w:t>序号</w:t>
            </w:r>
          </w:p>
        </w:tc>
        <w:tc>
          <w:tcPr>
            <w:tcW w:w="201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Courier New"/>
                <w:b/>
                <w:bCs/>
                <w:color w:val="000000"/>
                <w:kern w:val="0"/>
                <w:sz w:val="22"/>
                <w:szCs w:val="22"/>
              </w:rPr>
            </w:pPr>
            <w:r>
              <w:rPr>
                <w:rFonts w:ascii="宋体" w:hAnsi="宋体" w:cs="Courier New"/>
                <w:b/>
                <w:bCs/>
                <w:color w:val="000000"/>
                <w:kern w:val="0"/>
                <w:sz w:val="22"/>
                <w:szCs w:val="22"/>
              </w:rPr>
              <w:t>国家（地区）</w:t>
            </w:r>
          </w:p>
        </w:tc>
        <w:tc>
          <w:tcPr>
            <w:tcW w:w="21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Courier New"/>
                <w:b/>
                <w:bCs/>
                <w:color w:val="000000"/>
                <w:kern w:val="0"/>
                <w:sz w:val="22"/>
                <w:szCs w:val="22"/>
              </w:rPr>
            </w:pPr>
            <w:r>
              <w:rPr>
                <w:rFonts w:ascii="宋体" w:hAnsi="宋体" w:cs="Courier New"/>
                <w:b/>
                <w:bCs/>
                <w:color w:val="000000"/>
                <w:kern w:val="0"/>
                <w:sz w:val="22"/>
                <w:szCs w:val="22"/>
              </w:rPr>
              <w:t>城市</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Courier New"/>
                <w:b/>
                <w:bCs/>
                <w:color w:val="000000"/>
                <w:kern w:val="0"/>
                <w:sz w:val="22"/>
                <w:szCs w:val="22"/>
              </w:rPr>
            </w:pPr>
            <w:r>
              <w:rPr>
                <w:rFonts w:ascii="宋体" w:hAnsi="宋体" w:cs="Courier New"/>
                <w:b/>
                <w:bCs/>
                <w:color w:val="000000"/>
                <w:kern w:val="0"/>
                <w:sz w:val="22"/>
                <w:szCs w:val="22"/>
              </w:rPr>
              <w:t>币种</w:t>
            </w:r>
          </w:p>
        </w:tc>
        <w:tc>
          <w:tcPr>
            <w:tcW w:w="122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Courier New"/>
                <w:b/>
                <w:bCs/>
                <w:color w:val="000000"/>
                <w:kern w:val="0"/>
                <w:sz w:val="22"/>
                <w:szCs w:val="22"/>
              </w:rPr>
            </w:pPr>
            <w:r>
              <w:rPr>
                <w:rFonts w:ascii="宋体" w:hAnsi="宋体" w:cs="Courier New"/>
                <w:b/>
                <w:bCs/>
                <w:color w:val="000000"/>
                <w:kern w:val="0"/>
                <w:sz w:val="22"/>
                <w:szCs w:val="22"/>
              </w:rPr>
              <w:t>住宿费</w:t>
            </w:r>
          </w:p>
        </w:tc>
        <w:tc>
          <w:tcPr>
            <w:tcW w:w="128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Courier New"/>
                <w:b/>
                <w:bCs/>
                <w:color w:val="000000"/>
                <w:kern w:val="0"/>
                <w:sz w:val="22"/>
                <w:szCs w:val="22"/>
              </w:rPr>
            </w:pPr>
            <w:r>
              <w:rPr>
                <w:rFonts w:ascii="宋体" w:hAnsi="宋体" w:cs="Courier New"/>
                <w:b/>
                <w:bCs/>
                <w:color w:val="000000"/>
                <w:kern w:val="0"/>
                <w:sz w:val="22"/>
                <w:szCs w:val="22"/>
              </w:rPr>
              <w:t>伙食费</w:t>
            </w:r>
          </w:p>
        </w:tc>
        <w:tc>
          <w:tcPr>
            <w:tcW w:w="108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Courier New"/>
                <w:b/>
                <w:bCs/>
                <w:color w:val="000000"/>
                <w:kern w:val="0"/>
                <w:sz w:val="22"/>
                <w:szCs w:val="22"/>
              </w:rPr>
            </w:pPr>
            <w:r>
              <w:rPr>
                <w:rFonts w:ascii="宋体" w:hAnsi="宋体" w:cs="Courier New"/>
                <w:b/>
                <w:bCs/>
                <w:color w:val="000000"/>
                <w:kern w:val="0"/>
                <w:sz w:val="22"/>
                <w:szCs w:val="22"/>
              </w:rPr>
              <w:t>公杂费</w:t>
            </w:r>
          </w:p>
        </w:tc>
      </w:tr>
      <w:tr>
        <w:tblPrEx>
          <w:tblCellMar>
            <w:top w:w="0" w:type="dxa"/>
            <w:left w:w="108" w:type="dxa"/>
            <w:bottom w:w="0" w:type="dxa"/>
            <w:right w:w="108" w:type="dxa"/>
          </w:tblCellMar>
        </w:tblPrEx>
        <w:trPr>
          <w:wBefore w:w="0" w:type="dxa"/>
          <w:wAfter w:w="0" w:type="dxa"/>
          <w:trHeight w:val="30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Courier New"/>
                <w:b/>
                <w:bCs/>
                <w:color w:val="000000"/>
                <w:kern w:val="0"/>
                <w:sz w:val="22"/>
                <w:szCs w:val="22"/>
              </w:rPr>
            </w:pP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Courier New"/>
                <w:b/>
                <w:bCs/>
                <w:color w:val="000000"/>
                <w:kern w:val="0"/>
                <w:sz w:val="22"/>
                <w:szCs w:val="22"/>
              </w:rPr>
            </w:pPr>
          </w:p>
        </w:tc>
        <w:tc>
          <w:tcPr>
            <w:tcW w:w="21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Courier New"/>
                <w:b/>
                <w:bCs/>
                <w:color w:val="000000"/>
                <w:kern w:val="0"/>
                <w:sz w:val="22"/>
                <w:szCs w:val="22"/>
              </w:rPr>
            </w:pPr>
          </w:p>
        </w:tc>
        <w:tc>
          <w:tcPr>
            <w:tcW w:w="8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Courier New"/>
                <w:b/>
                <w:bCs/>
                <w:color w:val="000000"/>
                <w:kern w:val="0"/>
                <w:sz w:val="22"/>
                <w:szCs w:val="22"/>
              </w:rPr>
            </w:pP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w:t>
            </w:r>
            <w:r>
              <w:rPr>
                <w:rFonts w:ascii="宋体" w:hAnsi="宋体" w:cs="Courier New"/>
                <w:b/>
                <w:bCs/>
                <w:color w:val="000000"/>
                <w:kern w:val="0"/>
                <w:sz w:val="22"/>
                <w:szCs w:val="22"/>
              </w:rPr>
              <w:t>每人每天</w:t>
            </w:r>
            <w:r>
              <w:rPr>
                <w:rFonts w:ascii="宋体" w:hAnsi="宋体" w:cs="宋体"/>
                <w:b/>
                <w:bCs/>
                <w:color w:val="000000"/>
                <w:kern w:val="0"/>
                <w:sz w:val="22"/>
                <w:szCs w:val="22"/>
              </w:rPr>
              <w:t>)</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w:t>
            </w:r>
            <w:r>
              <w:rPr>
                <w:rFonts w:ascii="宋体" w:hAnsi="宋体" w:cs="Courier New"/>
                <w:b/>
                <w:bCs/>
                <w:color w:val="000000"/>
                <w:kern w:val="0"/>
                <w:sz w:val="22"/>
                <w:szCs w:val="22"/>
              </w:rPr>
              <w:t>每人每天</w:t>
            </w:r>
            <w:r>
              <w:rPr>
                <w:rFonts w:ascii="宋体" w:hAnsi="宋体" w:cs="宋体"/>
                <w:b/>
                <w:bCs/>
                <w:color w:val="000000"/>
                <w:kern w:val="0"/>
                <w:sz w:val="22"/>
                <w:szCs w:val="22"/>
              </w:rPr>
              <w:t>)</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w:t>
            </w:r>
            <w:r>
              <w:rPr>
                <w:rFonts w:ascii="宋体" w:hAnsi="宋体" w:cs="Courier New"/>
                <w:b/>
                <w:bCs/>
                <w:color w:val="000000"/>
                <w:kern w:val="0"/>
                <w:sz w:val="22"/>
                <w:szCs w:val="22"/>
              </w:rPr>
              <w:t>每人每天</w:t>
            </w:r>
            <w:r>
              <w:rPr>
                <w:rFonts w:ascii="宋体" w:hAnsi="宋体" w:cs="宋体"/>
                <w:b/>
                <w:bCs/>
                <w:color w:val="000000"/>
                <w:kern w:val="0"/>
                <w:sz w:val="22"/>
                <w:szCs w:val="22"/>
              </w:rPr>
              <w:t>)</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Courier New"/>
                <w:b/>
                <w:bCs/>
                <w:color w:val="000000"/>
                <w:kern w:val="0"/>
                <w:sz w:val="22"/>
                <w:szCs w:val="22"/>
              </w:rPr>
            </w:pPr>
            <w:r>
              <w:rPr>
                <w:rFonts w:ascii="宋体" w:hAnsi="宋体" w:cs="Courier New"/>
                <w:b/>
                <w:bCs/>
                <w:color w:val="000000"/>
                <w:kern w:val="0"/>
                <w:sz w:val="22"/>
                <w:szCs w:val="22"/>
              </w:rPr>
              <w:t>一</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b/>
                <w:bCs/>
                <w:color w:val="000000"/>
                <w:kern w:val="0"/>
                <w:sz w:val="22"/>
                <w:szCs w:val="22"/>
              </w:rPr>
            </w:pPr>
            <w:r>
              <w:rPr>
                <w:rFonts w:ascii="宋体" w:hAnsi="宋体" w:cs="Courier New"/>
                <w:b/>
                <w:bCs/>
                <w:color w:val="000000"/>
                <w:kern w:val="0"/>
                <w:sz w:val="22"/>
                <w:szCs w:val="22"/>
              </w:rPr>
              <w:t>亚 洲</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2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蒙古</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朝鲜</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韩国</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首尔、釜山、济州</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光州、西归浦</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日本</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东京</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日元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10000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5000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大阪、京都</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日元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10000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5000</w:t>
            </w:r>
          </w:p>
        </w:tc>
      </w:tr>
      <w:tr>
        <w:tblPrEx>
          <w:tblCellMar>
            <w:top w:w="0" w:type="dxa"/>
            <w:left w:w="108" w:type="dxa"/>
            <w:bottom w:w="0" w:type="dxa"/>
            <w:right w:w="108" w:type="dxa"/>
          </w:tblCellMar>
        </w:tblPrEx>
        <w:trPr>
          <w:wBefore w:w="0" w:type="dxa"/>
          <w:wAfter w:w="0" w:type="dxa"/>
          <w:trHeight w:val="69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福冈、札幌、长崎、名古屋</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日元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10000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5000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日元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10000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5000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缅甸</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645"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巴基斯坦</w:t>
            </w:r>
          </w:p>
        </w:tc>
        <w:tc>
          <w:tcPr>
            <w:tcW w:w="214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伊斯兰堡、拉合尔、卡拉奇</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奎达</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斯里兰卡</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马尔代夫</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孟加拉</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伊拉克</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54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w:t>
            </w:r>
          </w:p>
        </w:tc>
        <w:tc>
          <w:tcPr>
            <w:tcW w:w="2018"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阿拉伯联合酋长国</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12" w:hRule="atLeast"/>
        </w:trPr>
        <w:tc>
          <w:tcPr>
            <w:tcW w:w="760"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2018"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也门</w:t>
            </w:r>
          </w:p>
        </w:tc>
        <w:tc>
          <w:tcPr>
            <w:tcW w:w="2140"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萨那</w:t>
            </w:r>
          </w:p>
        </w:tc>
        <w:tc>
          <w:tcPr>
            <w:tcW w:w="880"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12" w:hRule="atLeast"/>
        </w:trPr>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20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ourier New"/>
                <w:color w:val="000000"/>
                <w:kern w:val="0"/>
                <w:sz w:val="22"/>
                <w:szCs w:val="22"/>
              </w:rPr>
            </w:pPr>
          </w:p>
        </w:tc>
        <w:tc>
          <w:tcPr>
            <w:tcW w:w="21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ourier New"/>
                <w:color w:val="000000"/>
                <w:kern w:val="0"/>
                <w:sz w:val="22"/>
                <w:szCs w:val="22"/>
              </w:rPr>
            </w:pPr>
          </w:p>
        </w:tc>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ourier New"/>
                <w:color w:val="000000"/>
                <w:kern w:val="0"/>
                <w:sz w:val="22"/>
                <w:szCs w:val="22"/>
              </w:rPr>
            </w:pPr>
          </w:p>
        </w:tc>
        <w:tc>
          <w:tcPr>
            <w:tcW w:w="1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312" w:hRule="atLeast"/>
        </w:trPr>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20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ourier New"/>
                <w:color w:val="000000"/>
                <w:kern w:val="0"/>
                <w:sz w:val="22"/>
                <w:szCs w:val="22"/>
              </w:rPr>
            </w:pPr>
          </w:p>
        </w:tc>
        <w:tc>
          <w:tcPr>
            <w:tcW w:w="21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ourier New"/>
                <w:color w:val="000000"/>
                <w:kern w:val="0"/>
                <w:sz w:val="22"/>
                <w:szCs w:val="22"/>
              </w:rPr>
            </w:pPr>
          </w:p>
        </w:tc>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ourier New"/>
                <w:color w:val="000000"/>
                <w:kern w:val="0"/>
                <w:sz w:val="22"/>
                <w:szCs w:val="22"/>
              </w:rPr>
            </w:pPr>
          </w:p>
        </w:tc>
        <w:tc>
          <w:tcPr>
            <w:tcW w:w="1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亚丁</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阿曼</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伊朗</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科威特</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沙特阿拉伯</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利雅得</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吉达</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28</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巴林</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以色列</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巴勒斯坦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文莱</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印度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新德里、加尔各答</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33</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孟买</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34</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不丹</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36</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越南</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河内</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胡志明市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柬埔寨</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老挝</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马来西亚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菲律宾</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印度尼西亚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东帝汶</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泰国</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曼谷</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46</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宋卡</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清迈、孔敬</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新加坡</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阿富汗</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尼泊尔</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黎巴嫩</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塞浦路斯</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约旦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土耳其</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安卡拉</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56</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伊斯坦布尔</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58</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叙利亚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卡塔尔</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香港</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港币</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澳门</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港币</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台湾</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Courier New"/>
                <w:b/>
                <w:bCs/>
                <w:color w:val="000000"/>
                <w:kern w:val="0"/>
                <w:sz w:val="22"/>
                <w:szCs w:val="22"/>
              </w:rPr>
            </w:pPr>
            <w:r>
              <w:rPr>
                <w:rFonts w:ascii="宋体" w:hAnsi="宋体" w:cs="Courier New"/>
                <w:b/>
                <w:bCs/>
                <w:color w:val="000000"/>
                <w:kern w:val="0"/>
                <w:sz w:val="22"/>
                <w:szCs w:val="22"/>
              </w:rPr>
              <w:t>二</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b/>
                <w:bCs/>
                <w:color w:val="000000"/>
                <w:kern w:val="0"/>
                <w:sz w:val="22"/>
                <w:szCs w:val="22"/>
              </w:rPr>
            </w:pPr>
            <w:r>
              <w:rPr>
                <w:rFonts w:ascii="宋体" w:hAnsi="宋体" w:cs="Courier New"/>
                <w:b/>
                <w:bCs/>
                <w:color w:val="000000"/>
                <w:kern w:val="0"/>
                <w:sz w:val="22"/>
                <w:szCs w:val="22"/>
              </w:rPr>
              <w:t>非 洲</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2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63</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马达加斯加</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塔那那利佛</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64</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塔马塔夫</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65</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喀麦隆</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67</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多哥</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48</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68</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科特迪瓦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摩洛哥</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阿尔及利亚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卢旺达</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几内亚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埃塞俄比亚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厄立特里亚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莫桑比克</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塞舌尔</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77</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肯尼亚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78</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利比亚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安哥拉</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赞比亚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几内亚比绍</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突尼斯</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布隆迪</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莱索托</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津巴布韦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33</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86</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尼日利亚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阿布贾</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拉各斯</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毛里求斯</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索马里</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苏丹</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贝宁</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马里</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乌干达</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塞拉里昂</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吉布提</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97</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塞内加尔</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98</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冈比亚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加蓬</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中非</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布基纳法索</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毛里塔尼亚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尼日尔</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乍得</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赤道几内亚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加纳</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107</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坦桑尼亚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达累斯萨拉姆</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桑给巴尔</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109</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刚果（金）</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刚果（布）</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埃及</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54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113</w:t>
            </w:r>
          </w:p>
        </w:tc>
        <w:tc>
          <w:tcPr>
            <w:tcW w:w="2018"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圣多美和普林西比</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博茨瓦纳</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525"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115</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南非</w:t>
            </w:r>
          </w:p>
        </w:tc>
        <w:tc>
          <w:tcPr>
            <w:tcW w:w="214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比勒陀尼亚、约翰内斯堡</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116</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开普敦</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德班</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纳米比亚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斯威士兰</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利比里亚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佛得角</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科摩罗</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南苏丹</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马拉维</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Courier New"/>
                <w:b/>
                <w:bCs/>
                <w:color w:val="000000"/>
                <w:kern w:val="0"/>
                <w:sz w:val="22"/>
                <w:szCs w:val="22"/>
              </w:rPr>
            </w:pPr>
            <w:r>
              <w:rPr>
                <w:rFonts w:ascii="宋体" w:hAnsi="宋体" w:cs="Courier New"/>
                <w:b/>
                <w:bCs/>
                <w:color w:val="000000"/>
                <w:kern w:val="0"/>
                <w:sz w:val="22"/>
                <w:szCs w:val="22"/>
              </w:rPr>
              <w:t>三</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b/>
                <w:bCs/>
                <w:color w:val="000000"/>
                <w:kern w:val="0"/>
                <w:sz w:val="22"/>
                <w:szCs w:val="22"/>
              </w:rPr>
            </w:pPr>
            <w:r>
              <w:rPr>
                <w:rFonts w:ascii="宋体" w:hAnsi="宋体" w:cs="Courier New"/>
                <w:b/>
                <w:bCs/>
                <w:color w:val="000000"/>
                <w:kern w:val="0"/>
                <w:sz w:val="22"/>
                <w:szCs w:val="22"/>
              </w:rPr>
              <w:t>欧 洲</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2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126</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罗马尼亚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布加勒斯特</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康斯坦察</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马其顿</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斯洛文尼亚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波黑</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克罗地亚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阿尔巴尼亚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保加利亚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俄罗斯</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莫斯科</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285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136</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哈巴罗夫斯克</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51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叶卡捷琳堡、圣彼得堡</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伊尔库茨克</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139</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立陶宛</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拉脱维亚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爱沙尼亚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143</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乌克兰</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基辅</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144</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敖德萨</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145</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阿塞拜疆</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147</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亚美尼亚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148</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格鲁吉亚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149</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吉尔吉斯斯坦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比什凯克</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塔吉克斯坦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土库曼斯坦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153</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乌兹别克斯坦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塔什干</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154</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撒马尔罕</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155</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白俄罗斯</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157</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哈萨克斯坦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阿斯塔纳</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阿拉木图</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159</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摩尔多瓦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161</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波兰</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华沙</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162</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革但斯克</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163</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164</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德国</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柏林、汉堡</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165</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慕尼黑</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166</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法兰克福</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168</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荷兰</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海牙</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169</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阿姆斯特丹</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171</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意大利</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罗马</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172</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米兰</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173</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佛罗伦萨</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174</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比利时</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奥地利</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177</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希腊</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178</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法国</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巴黎</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54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179</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马赛、斯特拉斯堡、尼斯、里昂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西班牙</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卢森堡</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爱尔兰</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葡萄牙</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芬兰</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捷克</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187</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斯洛伐克</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188</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匈牙利</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瑞典</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丹麦</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挪威</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瑞士</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冰岛</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马耳他</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塞尔维亚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黑山</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欧元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197</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英国</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伦敦</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英镑</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曼彻斯特、爱丁堡</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英镑</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199</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英镑</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Courier New"/>
                <w:b/>
                <w:bCs/>
                <w:color w:val="000000"/>
                <w:kern w:val="0"/>
                <w:sz w:val="22"/>
                <w:szCs w:val="22"/>
              </w:rPr>
            </w:pPr>
            <w:r>
              <w:rPr>
                <w:rFonts w:ascii="宋体" w:hAnsi="宋体" w:cs="Courier New"/>
                <w:b/>
                <w:bCs/>
                <w:color w:val="000000"/>
                <w:kern w:val="0"/>
                <w:sz w:val="22"/>
                <w:szCs w:val="22"/>
              </w:rPr>
              <w:t>四</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b/>
                <w:bCs/>
                <w:color w:val="000000"/>
                <w:kern w:val="0"/>
                <w:sz w:val="22"/>
                <w:szCs w:val="22"/>
              </w:rPr>
            </w:pPr>
            <w:r>
              <w:rPr>
                <w:rFonts w:ascii="宋体" w:hAnsi="宋体" w:cs="Courier New"/>
                <w:b/>
                <w:bCs/>
                <w:color w:val="000000"/>
                <w:kern w:val="0"/>
                <w:sz w:val="22"/>
                <w:szCs w:val="22"/>
              </w:rPr>
              <w:t>美 洲</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2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美国</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华盛顿</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旧金山</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202</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休斯顿</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203</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波士顿</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204</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纽约</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205</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芝加哥</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206</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洛杉矶</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夏威夷</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54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209</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加拿大</w:t>
            </w:r>
          </w:p>
        </w:tc>
        <w:tc>
          <w:tcPr>
            <w:tcW w:w="214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渥太华、多伦多、卡尔加里、蒙特利尔</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210</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温哥华</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211</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212</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墨西哥</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墨西哥</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213</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蒂华纳</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214</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215</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巴西</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巴西利亚</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216</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圣保罗</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里约热内卢</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牙买加</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54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220</w:t>
            </w:r>
          </w:p>
        </w:tc>
        <w:tc>
          <w:tcPr>
            <w:tcW w:w="2018"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特立尼达和多巴哥</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厄瓜多尔</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阿根廷</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乌拉圭</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224</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智利</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圣地亚哥</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47</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225</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伊基克</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47</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63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226</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安托法加斯塔、阿里卡</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47</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47</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228</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哥伦比亚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波哥大</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229</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麦德林</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230</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卡塔赫纳</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231</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巴巴多斯</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圭亚那</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古巴</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37</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巴拿马</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格林纳达</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54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237</w:t>
            </w:r>
          </w:p>
        </w:tc>
        <w:tc>
          <w:tcPr>
            <w:tcW w:w="2018"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安提瓜和巴布达</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238</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秘鲁</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玻利维亚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36</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尼加拉瓜</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苏里南</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委内瑞拉</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海地</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43</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波多黎各</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多米尼加</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多米尼克</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247</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巴哈马</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248</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圣卢西亚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阿鲁巴岛</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哥斯达黎加</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r>
      <w:tr>
        <w:tblPrEx>
          <w:tblCellMar>
            <w:top w:w="0" w:type="dxa"/>
            <w:left w:w="108" w:type="dxa"/>
            <w:bottom w:w="0" w:type="dxa"/>
            <w:right w:w="108" w:type="dxa"/>
          </w:tblCellMar>
        </w:tblPrEx>
        <w:trPr>
          <w:wBefore w:w="0" w:type="dxa"/>
          <w:wAfter w:w="0" w:type="dxa"/>
          <w:trHeight w:val="285"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Courier New"/>
                <w:b/>
                <w:bCs/>
                <w:color w:val="000000"/>
                <w:kern w:val="0"/>
                <w:sz w:val="22"/>
                <w:szCs w:val="22"/>
              </w:rPr>
            </w:pPr>
            <w:r>
              <w:rPr>
                <w:rFonts w:ascii="宋体" w:hAnsi="宋体" w:cs="Courier New"/>
                <w:b/>
                <w:bCs/>
                <w:color w:val="000000"/>
                <w:kern w:val="0"/>
                <w:sz w:val="22"/>
                <w:szCs w:val="22"/>
              </w:rPr>
              <w:t>五</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b/>
                <w:bCs/>
                <w:color w:val="000000"/>
                <w:kern w:val="0"/>
                <w:sz w:val="22"/>
                <w:szCs w:val="22"/>
              </w:rPr>
            </w:pPr>
            <w:r>
              <w:rPr>
                <w:rFonts w:ascii="宋体" w:hAnsi="宋体" w:cs="Courier New"/>
                <w:b/>
                <w:bCs/>
                <w:color w:val="000000"/>
                <w:kern w:val="0"/>
                <w:sz w:val="22"/>
                <w:szCs w:val="22"/>
              </w:rPr>
              <w:t>大洋州及太平洋岛屿</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2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12" w:hRule="atLeast"/>
        </w:trPr>
        <w:tc>
          <w:tcPr>
            <w:tcW w:w="760"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251</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澳大利亚</w:t>
            </w:r>
          </w:p>
        </w:tc>
        <w:tc>
          <w:tcPr>
            <w:tcW w:w="214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堪培拉、帕斯、</w:t>
            </w:r>
          </w:p>
        </w:tc>
        <w:tc>
          <w:tcPr>
            <w:tcW w:w="880"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12" w:hRule="atLeast"/>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Courier New"/>
                <w:color w:val="000000"/>
                <w:kern w:val="0"/>
                <w:sz w:val="22"/>
                <w:szCs w:val="22"/>
              </w:rPr>
            </w:pPr>
          </w:p>
        </w:tc>
        <w:tc>
          <w:tcPr>
            <w:tcW w:w="21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Courier New"/>
                <w:color w:val="000000"/>
                <w:kern w:val="0"/>
                <w:sz w:val="22"/>
                <w:szCs w:val="22"/>
              </w:rPr>
            </w:pPr>
          </w:p>
        </w:tc>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ourier New"/>
                <w:color w:val="000000"/>
                <w:kern w:val="0"/>
                <w:sz w:val="22"/>
                <w:szCs w:val="22"/>
              </w:rPr>
            </w:pPr>
          </w:p>
        </w:tc>
        <w:tc>
          <w:tcPr>
            <w:tcW w:w="1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布里斯班</w:t>
            </w:r>
          </w:p>
        </w:tc>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ourier New"/>
                <w:color w:val="000000"/>
                <w:kern w:val="0"/>
                <w:sz w:val="22"/>
                <w:szCs w:val="22"/>
              </w:rPr>
            </w:pPr>
          </w:p>
        </w:tc>
        <w:tc>
          <w:tcPr>
            <w:tcW w:w="1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252</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墨尔本、悉尼</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253</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新西兰</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萨摩亚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170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47</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256</w:t>
            </w:r>
          </w:p>
        </w:tc>
        <w:tc>
          <w:tcPr>
            <w:tcW w:w="2018" w:type="dxa"/>
            <w:vMerge w:val="restart"/>
            <w:tcBorders>
              <w:top w:val="nil"/>
              <w:left w:val="single" w:color="auto" w:sz="4" w:space="0"/>
              <w:bottom w:val="single" w:color="000000"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斐济</w:t>
            </w: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苏瓦</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257</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楠迪</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258</w:t>
            </w:r>
          </w:p>
        </w:tc>
        <w:tc>
          <w:tcPr>
            <w:tcW w:w="20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Courier New"/>
                <w:color w:val="000000"/>
                <w:kern w:val="0"/>
                <w:sz w:val="22"/>
                <w:szCs w:val="22"/>
              </w:rPr>
            </w:pPr>
          </w:p>
        </w:tc>
        <w:tc>
          <w:tcPr>
            <w:tcW w:w="21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其他城市</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54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259</w:t>
            </w:r>
          </w:p>
        </w:tc>
        <w:tc>
          <w:tcPr>
            <w:tcW w:w="2018"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巴布亚新几内亚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260</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密克罗尼西亚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30</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261</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马绍尔群岛</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262</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瓦努阿图</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263</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基里巴斯</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195</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55</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264</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汤加</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265</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帕劳</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266</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库克群岛</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180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267</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所罗门群岛</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268</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法属留尼汪</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r>
        <w:tblPrEx>
          <w:tblCellMar>
            <w:top w:w="0" w:type="dxa"/>
            <w:left w:w="108" w:type="dxa"/>
            <w:bottom w:w="0" w:type="dxa"/>
            <w:right w:w="108" w:type="dxa"/>
          </w:tblCellMar>
        </w:tblPrEx>
        <w:trPr>
          <w:wBefore w:w="0" w:type="dxa"/>
          <w:wAfter w:w="0" w:type="dxa"/>
          <w:trHeight w:val="300" w:hRule="atLeast"/>
        </w:trPr>
        <w:tc>
          <w:tcPr>
            <w:tcW w:w="7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269</w:t>
            </w:r>
          </w:p>
        </w:tc>
        <w:tc>
          <w:tcPr>
            <w:tcW w:w="2018"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Courier New"/>
                <w:color w:val="000000"/>
                <w:kern w:val="0"/>
                <w:sz w:val="22"/>
                <w:szCs w:val="22"/>
              </w:rPr>
            </w:pPr>
            <w:r>
              <w:rPr>
                <w:rFonts w:ascii="宋体" w:hAnsi="宋体" w:cs="Courier New"/>
                <w:color w:val="000000"/>
                <w:kern w:val="0"/>
                <w:sz w:val="22"/>
                <w:szCs w:val="22"/>
              </w:rPr>
              <w:t>法属波利尼西亚</w:t>
            </w:r>
          </w:p>
        </w:tc>
        <w:tc>
          <w:tcPr>
            <w:tcW w:w="21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Courier New"/>
                <w:color w:val="000000"/>
                <w:kern w:val="0"/>
                <w:sz w:val="22"/>
                <w:szCs w:val="22"/>
              </w:rPr>
            </w:pPr>
            <w:r>
              <w:rPr>
                <w:rFonts w:ascii="宋体" w:hAnsi="宋体" w:cs="Courier New"/>
                <w:color w:val="000000"/>
                <w:kern w:val="0"/>
                <w:sz w:val="22"/>
                <w:szCs w:val="22"/>
              </w:rPr>
              <w:t>美元</w:t>
            </w:r>
          </w:p>
        </w:tc>
        <w:tc>
          <w:tcPr>
            <w:tcW w:w="12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240</w:t>
            </w:r>
          </w:p>
        </w:tc>
        <w:tc>
          <w:tcPr>
            <w:tcW w:w="12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r>
    </w:tbl>
    <w:p>
      <w:pPr>
        <w:rPr>
          <w:rFonts w:ascii="宋体" w:hAnsi="宋体"/>
          <w:sz w:val="28"/>
          <w:szCs w:val="28"/>
        </w:rPr>
      </w:pP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Fonts w:ascii="宋体" w:hAnsi="宋体"/>
          <w:sz w:val="28"/>
          <w:szCs w:val="28"/>
        </w:rPr>
        <w:br w:type="page"/>
      </w:r>
      <w:r>
        <w:rPr>
          <w:rStyle w:val="13"/>
          <w:rFonts w:hint="eastAsia" w:ascii="方正小标宋简体" w:hAnsi="方正小标宋简体" w:eastAsia="方正小标宋简体" w:cs="方正小标宋简体"/>
          <w:b/>
          <w:bCs/>
          <w:color w:val="2B2B2B"/>
          <w:sz w:val="44"/>
          <w:szCs w:val="44"/>
        </w:rPr>
        <w:t>山东旅游职业学院</w:t>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Style w:val="13"/>
          <w:rFonts w:hint="eastAsia" w:ascii="方正小标宋简体" w:hAnsi="方正小标宋简体" w:eastAsia="方正小标宋简体" w:cs="方正小标宋简体"/>
          <w:b/>
          <w:bCs/>
          <w:color w:val="2B2B2B"/>
          <w:sz w:val="44"/>
          <w:szCs w:val="44"/>
        </w:rPr>
        <w:t>因公短期出国培训费用管理实施细则</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第一条 </w:t>
      </w:r>
      <w:r>
        <w:rPr>
          <w:rFonts w:hint="eastAsia" w:ascii="方正仿宋_GB2312" w:hAnsi="方正仿宋_GB2312" w:eastAsia="方正仿宋_GB2312" w:cs="方正仿宋_GB2312"/>
          <w:color w:val="2B2B2B"/>
          <w:kern w:val="0"/>
          <w:sz w:val="32"/>
          <w:szCs w:val="32"/>
          <w:lang w:val="en-US" w:eastAsia="zh-CN" w:bidi="ar-SA"/>
        </w:rPr>
        <w:t>为进一步规范因公短期出国培训费用管理，加强预算监督，提高资金使用效益，保证出国培训工作的顺利开展，根据《山东省实施&lt;党政机关厉行节约反对浪费条例&gt;办法》、《山东省因公短期出国培训费用管理实施办法》（鲁财行[2014]24号）等法律法规，制定本实施细则。</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第二条 </w:t>
      </w:r>
      <w:r>
        <w:rPr>
          <w:rFonts w:hint="eastAsia" w:ascii="方正仿宋_GB2312" w:hAnsi="方正仿宋_GB2312" w:eastAsia="方正仿宋_GB2312" w:cs="方正仿宋_GB2312"/>
          <w:color w:val="2B2B2B"/>
          <w:kern w:val="0"/>
          <w:sz w:val="32"/>
          <w:szCs w:val="32"/>
          <w:lang w:val="en-US" w:eastAsia="zh-CN" w:bidi="ar-SA"/>
        </w:rPr>
        <w:t>学院各部门及下属各单位(以下简称各单位)因公短期出国培训费用的管理适用本细则。</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第三条</w:t>
      </w:r>
      <w:r>
        <w:rPr>
          <w:rFonts w:hint="eastAsia" w:ascii="宋体" w:hAnsi="宋体" w:cs="宋体"/>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因公短期出国培训，是指各单位选派各类专业技术人员和管理人员到国外进行90天以内（不含90天）的业务培训。</w:t>
      </w:r>
    </w:p>
    <w:p>
      <w:pPr>
        <w:widowControl/>
        <w:shd w:val="clear" w:color="auto" w:fill="FFFFFF"/>
        <w:ind w:firstLine="640" w:firstLineChars="200"/>
        <w:jc w:val="left"/>
        <w:rPr>
          <w:rFonts w:hint="eastAsia" w:ascii="宋体" w:hAnsi="宋体" w:cs="宋体"/>
          <w:kern w:val="0"/>
          <w:sz w:val="28"/>
          <w:szCs w:val="28"/>
        </w:rPr>
      </w:pPr>
      <w:r>
        <w:rPr>
          <w:rFonts w:hint="eastAsia" w:ascii="方正楷体_GB2312" w:hAnsi="方正楷体_GB2312" w:eastAsia="方正楷体_GB2312" w:cs="方正楷体_GB2312"/>
          <w:color w:val="2B2B2B"/>
          <w:kern w:val="0"/>
          <w:sz w:val="32"/>
          <w:szCs w:val="32"/>
          <w:lang w:val="en-US" w:eastAsia="zh-CN" w:bidi="ar-SA"/>
        </w:rPr>
        <w:t xml:space="preserve">第四条 </w:t>
      </w:r>
      <w:r>
        <w:rPr>
          <w:rFonts w:hint="eastAsia" w:ascii="方正仿宋_GB2312" w:hAnsi="方正仿宋_GB2312" w:eastAsia="方正仿宋_GB2312" w:cs="方正仿宋_GB2312"/>
          <w:color w:val="2B2B2B"/>
          <w:kern w:val="0"/>
          <w:sz w:val="32"/>
          <w:szCs w:val="32"/>
          <w:lang w:val="en-US" w:eastAsia="zh-CN" w:bidi="ar-SA"/>
        </w:rPr>
        <w:t>因公短期出国培训坚持强化预算约束、优化培训结构、因事立项定人、加强监督管理的原则，严控费用规模，严格计划执行。</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第五条</w:t>
      </w:r>
      <w:r>
        <w:rPr>
          <w:rFonts w:hint="eastAsia" w:ascii="宋体" w:hAnsi="宋体" w:cs="宋体"/>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因公短期出国培训费用纳入预算管理。安排因公短期出国培训项目应当实行经费预算先行审核，无预算或超预算的不得安排出国培训。</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第六条</w:t>
      </w:r>
      <w:r>
        <w:rPr>
          <w:rFonts w:hint="eastAsia" w:ascii="宋体" w:hAnsi="宋体" w:cs="宋体"/>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因公短期出国培训实行计划审核审批管理。组织人事、教务等有关部门应当加强出国培训的总体规划，严格控制出国培训规模，科学设置培训项目，择优选派培训对象，注重出国培训的质量和实效。</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第七条 </w:t>
      </w:r>
      <w:r>
        <w:rPr>
          <w:rFonts w:hint="eastAsia" w:ascii="方正仿宋_GB2312" w:hAnsi="方正仿宋_GB2312" w:eastAsia="方正仿宋_GB2312" w:cs="方正仿宋_GB2312"/>
          <w:color w:val="2B2B2B"/>
          <w:kern w:val="0"/>
          <w:sz w:val="32"/>
          <w:szCs w:val="32"/>
          <w:lang w:val="en-US" w:eastAsia="zh-CN" w:bidi="ar-SA"/>
        </w:rPr>
        <w:t>各单位应当建立因公短期出国培训计划与预算管理的内部控制制度。组织人事处汇总填报《因公短期出国培训任务和预算审批意见表》（附件2），会同财务审计处等部门进行审核并出具审签意见，报经院长办公会或党委审议确定。培训任务、培训费用预算审核未通过的，不得列入单位出国培训计划，不得安排出国培训。</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第八条</w:t>
      </w:r>
      <w:r>
        <w:rPr>
          <w:rFonts w:hint="eastAsia" w:ascii="宋体" w:hAnsi="宋体" w:cs="宋体"/>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因公短期出国培训费用开支范围包括：培训费、国际旅费、国外城市间交通费、住宿费、伙食费、公杂费和其他费用。其中，培训费是指出国培训团组用于授课、翻译、场租、资料、课程设计、对口业务考察或业务实践活动等在国外培训所必须发生的费用。</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第九条 </w:t>
      </w:r>
      <w:r>
        <w:rPr>
          <w:rFonts w:hint="eastAsia" w:ascii="方正仿宋_GB2312" w:hAnsi="方正仿宋_GB2312" w:eastAsia="方正仿宋_GB2312" w:cs="方正仿宋_GB2312"/>
          <w:color w:val="2B2B2B"/>
          <w:kern w:val="0"/>
          <w:sz w:val="32"/>
          <w:szCs w:val="32"/>
          <w:lang w:val="en-US" w:eastAsia="zh-CN" w:bidi="ar-SA"/>
        </w:rPr>
        <w:t>国际旅费、国外城市间交通费、住宿费、伙食费、公杂费、其他费用的管理要求和开支标准参照《山东旅游职业学院因公临时出国经费管理实施细则》执行。</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培训费开支在规定的标准之内据实报销。</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需在国内开展预培训和培训总结所发生的费用，参照国内培训费相关规定执行。</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第十条</w:t>
      </w:r>
      <w:r>
        <w:rPr>
          <w:rFonts w:hint="eastAsia" w:ascii="宋体" w:hAnsi="宋体" w:cs="宋体"/>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短期出国培训须与培训项目境外承办机构签订培训协议，明确培训费用的明细支出项目。</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第十一条 </w:t>
      </w:r>
      <w:r>
        <w:rPr>
          <w:rFonts w:hint="eastAsia" w:ascii="方正仿宋_GB2312" w:hAnsi="方正仿宋_GB2312" w:eastAsia="方正仿宋_GB2312" w:cs="方正仿宋_GB2312"/>
          <w:color w:val="2B2B2B"/>
          <w:kern w:val="0"/>
          <w:sz w:val="32"/>
          <w:szCs w:val="32"/>
          <w:lang w:val="en-US" w:eastAsia="zh-CN" w:bidi="ar-SA"/>
        </w:rPr>
        <w:t>由外方资助出国培训经费的，不得重复支付。外方对费用开支有明确规定的，按其规定执行；没有规定的，参照规定的标准和要求执行。外方资助经费不足以弥补规定培训费用开支的，可以按照规定的开支标准（附件1），由各单位补足其费用差额部分。</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第十二条 </w:t>
      </w:r>
      <w:r>
        <w:rPr>
          <w:rFonts w:hint="eastAsia" w:ascii="方正仿宋_GB2312" w:hAnsi="方正仿宋_GB2312" w:eastAsia="方正仿宋_GB2312" w:cs="方正仿宋_GB2312"/>
          <w:color w:val="2B2B2B"/>
          <w:kern w:val="0"/>
          <w:sz w:val="32"/>
          <w:szCs w:val="32"/>
          <w:lang w:val="en-US" w:eastAsia="zh-CN" w:bidi="ar-SA"/>
        </w:rPr>
        <w:t>培训人员回国报销费用时，应当凭出国任务批件和出国培训审核件，填报《因公短期出国培训费用报销单》（附件3）,并附各项经费开支有效票据。</w:t>
      </w:r>
    </w:p>
    <w:p>
      <w:pPr>
        <w:widowControl/>
        <w:shd w:val="clear" w:color="auto" w:fill="FFFFFF"/>
        <w:ind w:firstLine="640" w:firstLineChars="200"/>
        <w:jc w:val="left"/>
        <w:rPr>
          <w:rFonts w:hint="eastAsia" w:ascii="宋体" w:hAnsi="宋体" w:cs="宋体"/>
          <w:kern w:val="0"/>
          <w:sz w:val="28"/>
          <w:szCs w:val="28"/>
        </w:rPr>
      </w:pPr>
      <w:r>
        <w:rPr>
          <w:rFonts w:hint="eastAsia" w:ascii="方正楷体_GB2312" w:hAnsi="方正楷体_GB2312" w:eastAsia="方正楷体_GB2312" w:cs="方正楷体_GB2312"/>
          <w:color w:val="2B2B2B"/>
          <w:kern w:val="0"/>
          <w:sz w:val="32"/>
          <w:szCs w:val="32"/>
          <w:lang w:val="en-US" w:eastAsia="zh-CN" w:bidi="ar-SA"/>
        </w:rPr>
        <w:t xml:space="preserve">第十三条 </w:t>
      </w:r>
      <w:r>
        <w:rPr>
          <w:rFonts w:hint="eastAsia" w:ascii="方正仿宋_GB2312" w:hAnsi="方正仿宋_GB2312" w:eastAsia="方正仿宋_GB2312" w:cs="方正仿宋_GB2312"/>
          <w:color w:val="2B2B2B"/>
          <w:kern w:val="0"/>
          <w:sz w:val="32"/>
          <w:szCs w:val="32"/>
          <w:lang w:val="en-US" w:eastAsia="zh-CN" w:bidi="ar-SA"/>
        </w:rPr>
        <w:t>学院组织人事部门对因公短期出国培训团组提供的出国任务批件、护照（包括签证和出入境记录）复印件、财务部门对有效费用明细票据进行认真审核，严格按照批准的出国培训团组人员、天数、路线、经费预算及开支标准核销经费，超出部分不得核销。</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第十四条 </w:t>
      </w:r>
      <w:r>
        <w:rPr>
          <w:rFonts w:hint="eastAsia" w:ascii="方正仿宋_GB2312" w:hAnsi="方正仿宋_GB2312" w:eastAsia="方正仿宋_GB2312" w:cs="方正仿宋_GB2312"/>
          <w:color w:val="2B2B2B"/>
          <w:kern w:val="0"/>
          <w:sz w:val="32"/>
          <w:szCs w:val="32"/>
          <w:lang w:val="en-US" w:eastAsia="zh-CN" w:bidi="ar-SA"/>
        </w:rPr>
        <w:t>各单位不得组织计划外或营利性出国培训项目，也不得安排照顾性质、无实质内容、无实际需要及参观考察等一般性出国培训项目。</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第十五条 </w:t>
      </w:r>
      <w:r>
        <w:rPr>
          <w:rFonts w:hint="eastAsia" w:ascii="方正仿宋_GB2312" w:hAnsi="方正仿宋_GB2312" w:eastAsia="方正仿宋_GB2312" w:cs="方正仿宋_GB2312"/>
          <w:color w:val="2B2B2B"/>
          <w:kern w:val="0"/>
          <w:sz w:val="32"/>
          <w:szCs w:val="32"/>
          <w:lang w:val="en-US" w:eastAsia="zh-CN" w:bidi="ar-SA"/>
        </w:rPr>
        <w:t>培训团组在国外期间，原则上不赠送礼品，一律不安排宴请。</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培训团组严禁接受或变相接受企事业单位资助，严禁摊派或转嫁出国培训费用。</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第十六条</w:t>
      </w:r>
      <w:r>
        <w:rPr>
          <w:rFonts w:hint="eastAsia" w:ascii="宋体" w:hAnsi="宋体" w:cs="宋体"/>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建立出国培训项目信息公开制度和成果共享机制，将培训的项目、内容、人数、经费等情况，以适当方式进行公开。</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第十七条</w:t>
      </w:r>
      <w:r>
        <w:rPr>
          <w:rFonts w:hint="eastAsia" w:ascii="宋体" w:hAnsi="宋体" w:cs="宋体"/>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纪委、组织人事、财务审计等部门对因公短期出国培训项目执行情况和培训费用管理使用情况进行定期或不定期检查。</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建立健全因公短期出国培训项目内部监督检查机制，每半年向上级相关部门报送因公短期出国培训项目执行和费用使用情况。</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第十八条</w:t>
      </w:r>
      <w:r>
        <w:rPr>
          <w:rFonts w:hint="eastAsia" w:ascii="宋体" w:hAnsi="宋体" w:cs="宋体"/>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各单位以及培训人员违反本办法规定，有下列行为之一的，相关开支一律不予报销，并按有关规定予以处理：</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（一）无预算或未经财务部门同意安排出国培训项目的；</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（二）违规扩大出国培训费用开支范围的；</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（三）擅自提高出国培训费用开支标准的；</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（四）虚报培训团组人数、天数等，套取出国培训费用的；</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（五）使用虚假票据报销出国培训费用的；</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（六）培训期间存在铺张浪费、公款旅游行为的；</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(七) 其他违反本办法的行为。</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第十九条 </w:t>
      </w:r>
      <w:r>
        <w:rPr>
          <w:rFonts w:hint="eastAsia" w:ascii="方正仿宋_GB2312" w:hAnsi="方正仿宋_GB2312" w:eastAsia="方正仿宋_GB2312" w:cs="方正仿宋_GB2312"/>
          <w:color w:val="2B2B2B"/>
          <w:kern w:val="0"/>
          <w:sz w:val="32"/>
          <w:szCs w:val="32"/>
          <w:lang w:val="en-US" w:eastAsia="zh-CN" w:bidi="ar-SA"/>
        </w:rPr>
        <w:t>因公短期赴香港、澳门、台湾地区培训的，适用本办法。</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第二十条 </w:t>
      </w:r>
      <w:r>
        <w:rPr>
          <w:rFonts w:hint="eastAsia" w:ascii="方正仿宋_GB2312" w:hAnsi="方正仿宋_GB2312" w:eastAsia="方正仿宋_GB2312" w:cs="方正仿宋_GB2312"/>
          <w:color w:val="2B2B2B"/>
          <w:kern w:val="0"/>
          <w:sz w:val="32"/>
          <w:szCs w:val="32"/>
          <w:lang w:val="en-US" w:eastAsia="zh-CN" w:bidi="ar-SA"/>
        </w:rPr>
        <w:t>确有必要到未列培训费开支标准的国家（地区）开展因公培训的，可按照经济社会发展水平相近的国家标准执行。</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第二十一条 </w:t>
      </w:r>
      <w:r>
        <w:rPr>
          <w:rFonts w:hint="eastAsia" w:ascii="方正仿宋_GB2312" w:hAnsi="方正仿宋_GB2312" w:eastAsia="方正仿宋_GB2312" w:cs="方正仿宋_GB2312"/>
          <w:color w:val="2B2B2B"/>
          <w:kern w:val="0"/>
          <w:sz w:val="32"/>
          <w:szCs w:val="32"/>
          <w:lang w:val="en-US" w:eastAsia="zh-CN" w:bidi="ar-SA"/>
        </w:rPr>
        <w:t>本办法由组织人事处、财务审计处负责解释。</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附件：附1.因公短期出国培训费开支标准表</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附2.因公短期出国培训任务和预算审批意见表</w:t>
      </w: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附3.因公短期出国培训费用报销单</w:t>
      </w:r>
    </w:p>
    <w:p>
      <w:pPr>
        <w:rPr>
          <w:rFonts w:hint="eastAsia" w:ascii="宋体" w:hAnsi="宋体"/>
        </w:rPr>
      </w:pPr>
    </w:p>
    <w:p>
      <w:pPr>
        <w:rPr>
          <w:rFonts w:hint="eastAsia" w:ascii="宋体" w:hAnsi="宋体"/>
        </w:rPr>
      </w:pPr>
    </w:p>
    <w:p>
      <w:pPr>
        <w:rPr>
          <w:rFonts w:ascii="宋体" w:hAnsi="宋体"/>
        </w:rPr>
        <w:sectPr>
          <w:pgSz w:w="11906" w:h="16838"/>
          <w:pgMar w:top="1440" w:right="1800" w:bottom="1440" w:left="1800" w:header="851" w:footer="992" w:gutter="0"/>
          <w:cols w:space="425" w:num="1"/>
          <w:docGrid w:type="lines" w:linePitch="312" w:charSpace="0"/>
        </w:sectPr>
      </w:pP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附件1：</w:t>
      </w:r>
    </w:p>
    <w:tbl>
      <w:tblPr>
        <w:tblStyle w:val="10"/>
        <w:tblW w:w="8081" w:type="dxa"/>
        <w:tblInd w:w="93" w:type="dxa"/>
        <w:tblLayout w:type="autofit"/>
        <w:tblCellMar>
          <w:top w:w="0" w:type="dxa"/>
          <w:left w:w="108" w:type="dxa"/>
          <w:bottom w:w="0" w:type="dxa"/>
          <w:right w:w="108" w:type="dxa"/>
        </w:tblCellMar>
      </w:tblPr>
      <w:tblGrid>
        <w:gridCol w:w="881"/>
        <w:gridCol w:w="2538"/>
        <w:gridCol w:w="881"/>
        <w:gridCol w:w="3781"/>
      </w:tblGrid>
      <w:tr>
        <w:tblPrEx>
          <w:tblCellMar>
            <w:top w:w="0" w:type="dxa"/>
            <w:left w:w="108" w:type="dxa"/>
            <w:bottom w:w="0" w:type="dxa"/>
            <w:right w:w="108" w:type="dxa"/>
          </w:tblCellMar>
        </w:tblPrEx>
        <w:trPr>
          <w:wBefore w:w="0" w:type="dxa"/>
          <w:wAfter w:w="0" w:type="dxa"/>
          <w:trHeight w:val="510" w:hRule="atLeast"/>
        </w:trPr>
        <w:tc>
          <w:tcPr>
            <w:tcW w:w="8081" w:type="dxa"/>
            <w:gridSpan w:val="4"/>
            <w:tcBorders>
              <w:top w:val="nil"/>
              <w:left w:val="nil"/>
              <w:bottom w:val="single" w:color="auto" w:sz="4" w:space="0"/>
              <w:right w:val="nil"/>
            </w:tcBorders>
            <w:shd w:val="clear" w:color="auto" w:fill="auto"/>
            <w:noWrap/>
            <w:vAlign w:val="center"/>
          </w:tcPr>
          <w:p>
            <w:pPr>
              <w:widowControl/>
              <w:jc w:val="center"/>
              <w:rPr>
                <w:rFonts w:ascii="宋体" w:hAnsi="宋体" w:cs="宋体"/>
                <w:b/>
                <w:bCs/>
                <w:kern w:val="0"/>
                <w:sz w:val="32"/>
                <w:szCs w:val="32"/>
              </w:rPr>
            </w:pPr>
            <w:r>
              <w:rPr>
                <w:rFonts w:hint="eastAsia" w:ascii="方正仿宋_GB2312" w:hAnsi="方正仿宋_GB2312" w:eastAsia="方正仿宋_GB2312" w:cs="方正仿宋_GB2312"/>
                <w:color w:val="2B2B2B"/>
                <w:kern w:val="0"/>
                <w:sz w:val="32"/>
                <w:szCs w:val="32"/>
                <w:lang w:val="en-US" w:eastAsia="zh-CN" w:bidi="ar-SA"/>
              </w:rPr>
              <w:t>因公短期出国培训费开支标准表</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国家（地区）</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币种</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培训费（每人每天）</w:t>
            </w:r>
          </w:p>
        </w:tc>
      </w:tr>
      <w:tr>
        <w:tblPrEx>
          <w:tblCellMar>
            <w:top w:w="0" w:type="dxa"/>
            <w:left w:w="108" w:type="dxa"/>
            <w:bottom w:w="0" w:type="dxa"/>
            <w:right w:w="108" w:type="dxa"/>
          </w:tblCellMar>
        </w:tblPrEx>
        <w:trPr>
          <w:wBefore w:w="0" w:type="dxa"/>
          <w:wAfter w:w="0" w:type="dxa"/>
          <w:trHeight w:val="360" w:hRule="atLeast"/>
        </w:trPr>
        <w:tc>
          <w:tcPr>
            <w:tcW w:w="3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亚洲</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韩国</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80</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日本</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日元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8400</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印度</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51</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以色列</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65</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泰国</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41</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新加坡</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80</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香港</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港币</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500</w:t>
            </w:r>
          </w:p>
        </w:tc>
      </w:tr>
      <w:tr>
        <w:tblPrEx>
          <w:tblCellMar>
            <w:top w:w="0" w:type="dxa"/>
            <w:left w:w="108" w:type="dxa"/>
            <w:bottom w:w="0" w:type="dxa"/>
            <w:right w:w="108" w:type="dxa"/>
          </w:tblCellMar>
        </w:tblPrEx>
        <w:trPr>
          <w:wBefore w:w="0" w:type="dxa"/>
          <w:wAfter w:w="0" w:type="dxa"/>
          <w:trHeight w:val="360" w:hRule="atLeast"/>
        </w:trPr>
        <w:tc>
          <w:tcPr>
            <w:tcW w:w="3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欧洲</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德国</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欧元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66</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英国</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英镑</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56</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荷兰</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欧元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57</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瑞典</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丹麦</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79</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挪威</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意大利</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欧元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48</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比利时</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欧元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67</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奥地利</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欧元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48</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瑞士</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95</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法国</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欧元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60</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西班牙</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欧元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48</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芬兰</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欧元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66</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爱尔兰</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欧元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59</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匈牙利</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63</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23</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俄罗斯</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67</w:t>
            </w:r>
          </w:p>
        </w:tc>
      </w:tr>
      <w:tr>
        <w:tblPrEx>
          <w:tblCellMar>
            <w:top w:w="0" w:type="dxa"/>
            <w:left w:w="108" w:type="dxa"/>
            <w:bottom w:w="0" w:type="dxa"/>
            <w:right w:w="108" w:type="dxa"/>
          </w:tblCellMar>
        </w:tblPrEx>
        <w:trPr>
          <w:wBefore w:w="0" w:type="dxa"/>
          <w:wAfter w:w="0" w:type="dxa"/>
          <w:trHeight w:val="360" w:hRule="atLeast"/>
        </w:trPr>
        <w:tc>
          <w:tcPr>
            <w:tcW w:w="3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美洲</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24</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美国</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87</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加拿大</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80</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26</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巴西</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65</w:t>
            </w:r>
          </w:p>
        </w:tc>
      </w:tr>
      <w:tr>
        <w:tblPrEx>
          <w:tblCellMar>
            <w:top w:w="0" w:type="dxa"/>
            <w:left w:w="108" w:type="dxa"/>
            <w:bottom w:w="0" w:type="dxa"/>
            <w:right w:w="108" w:type="dxa"/>
          </w:tblCellMar>
        </w:tblPrEx>
        <w:trPr>
          <w:wBefore w:w="0" w:type="dxa"/>
          <w:wAfter w:w="0" w:type="dxa"/>
          <w:trHeight w:val="360" w:hRule="atLeast"/>
        </w:trPr>
        <w:tc>
          <w:tcPr>
            <w:tcW w:w="3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大洋洲</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27</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澳大利亚</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86</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28</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新西兰</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81</w:t>
            </w:r>
          </w:p>
        </w:tc>
      </w:tr>
      <w:tr>
        <w:tblPrEx>
          <w:tblCellMar>
            <w:top w:w="0" w:type="dxa"/>
            <w:left w:w="108" w:type="dxa"/>
            <w:bottom w:w="0" w:type="dxa"/>
            <w:right w:w="108" w:type="dxa"/>
          </w:tblCellMar>
        </w:tblPrEx>
        <w:trPr>
          <w:wBefore w:w="0" w:type="dxa"/>
          <w:wAfter w:w="0" w:type="dxa"/>
          <w:trHeight w:val="360" w:hRule="atLeast"/>
        </w:trPr>
        <w:tc>
          <w:tcPr>
            <w:tcW w:w="3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非洲</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60" w:hRule="atLeast"/>
        </w:trPr>
        <w:tc>
          <w:tcPr>
            <w:tcW w:w="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29</w:t>
            </w:r>
          </w:p>
        </w:tc>
        <w:tc>
          <w:tcPr>
            <w:tcW w:w="25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南非</w:t>
            </w:r>
          </w:p>
        </w:tc>
        <w:tc>
          <w:tcPr>
            <w:tcW w:w="8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美元</w:t>
            </w:r>
          </w:p>
        </w:tc>
        <w:tc>
          <w:tcPr>
            <w:tcW w:w="3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65</w:t>
            </w:r>
          </w:p>
        </w:tc>
      </w:tr>
    </w:tbl>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附件2：</w:t>
      </w:r>
    </w:p>
    <w:tbl>
      <w:tblPr>
        <w:tblStyle w:val="10"/>
        <w:tblW w:w="9015" w:type="dxa"/>
        <w:tblInd w:w="93" w:type="dxa"/>
        <w:tblLayout w:type="autofit"/>
        <w:tblCellMar>
          <w:top w:w="0" w:type="dxa"/>
          <w:left w:w="108" w:type="dxa"/>
          <w:bottom w:w="0" w:type="dxa"/>
          <w:right w:w="108" w:type="dxa"/>
        </w:tblCellMar>
      </w:tblPr>
      <w:tblGrid>
        <w:gridCol w:w="1095"/>
        <w:gridCol w:w="60"/>
        <w:gridCol w:w="1020"/>
        <w:gridCol w:w="754"/>
        <w:gridCol w:w="134"/>
        <w:gridCol w:w="709"/>
        <w:gridCol w:w="563"/>
        <w:gridCol w:w="214"/>
        <w:gridCol w:w="633"/>
        <w:gridCol w:w="267"/>
        <w:gridCol w:w="817"/>
        <w:gridCol w:w="83"/>
        <w:gridCol w:w="900"/>
        <w:gridCol w:w="101"/>
        <w:gridCol w:w="1015"/>
        <w:gridCol w:w="650"/>
      </w:tblGrid>
      <w:tr>
        <w:tblPrEx>
          <w:tblCellMar>
            <w:top w:w="0" w:type="dxa"/>
            <w:left w:w="108" w:type="dxa"/>
            <w:bottom w:w="0" w:type="dxa"/>
            <w:right w:w="108" w:type="dxa"/>
          </w:tblCellMar>
        </w:tblPrEx>
        <w:trPr>
          <w:wBefore w:w="0" w:type="dxa"/>
          <w:wAfter w:w="0" w:type="dxa"/>
          <w:trHeight w:val="915" w:hRule="atLeast"/>
        </w:trPr>
        <w:tc>
          <w:tcPr>
            <w:tcW w:w="9015" w:type="dxa"/>
            <w:gridSpan w:val="16"/>
            <w:tcBorders>
              <w:top w:val="nil"/>
              <w:left w:val="nil"/>
              <w:bottom w:val="single" w:color="auto" w:sz="4" w:space="0"/>
              <w:right w:val="nil"/>
            </w:tcBorders>
            <w:shd w:val="clear" w:color="auto" w:fill="auto"/>
            <w:noWrap/>
            <w:vAlign w:val="center"/>
          </w:tcPr>
          <w:p>
            <w:pPr>
              <w:widowControl/>
              <w:jc w:val="center"/>
              <w:rPr>
                <w:rFonts w:ascii="宋体" w:hAnsi="宋体" w:cs="宋体"/>
                <w:b/>
                <w:kern w:val="0"/>
                <w:sz w:val="32"/>
                <w:szCs w:val="32"/>
              </w:rPr>
            </w:pPr>
            <w:r>
              <w:rPr>
                <w:rFonts w:hint="eastAsia" w:ascii="方正仿宋_GB2312" w:hAnsi="方正仿宋_GB2312" w:eastAsia="方正仿宋_GB2312" w:cs="方正仿宋_GB2312"/>
                <w:color w:val="2B2B2B"/>
                <w:kern w:val="0"/>
                <w:sz w:val="32"/>
                <w:szCs w:val="32"/>
                <w:lang w:val="en-US" w:eastAsia="zh-CN" w:bidi="ar-SA"/>
              </w:rPr>
              <w:t>因公短期出国培训任务和预算审批意见表</w:t>
            </w:r>
          </w:p>
        </w:tc>
      </w:tr>
      <w:tr>
        <w:tblPrEx>
          <w:tblCellMar>
            <w:top w:w="0" w:type="dxa"/>
            <w:left w:w="108" w:type="dxa"/>
            <w:bottom w:w="0" w:type="dxa"/>
            <w:right w:w="108" w:type="dxa"/>
          </w:tblCellMar>
        </w:tblPrEx>
        <w:trPr>
          <w:wBefore w:w="0" w:type="dxa"/>
          <w:wAfter w:w="0" w:type="dxa"/>
          <w:trHeight w:val="499" w:hRule="atLeast"/>
        </w:trPr>
        <w:tc>
          <w:tcPr>
            <w:tcW w:w="115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7860"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99" w:hRule="atLeast"/>
        </w:trPr>
        <w:tc>
          <w:tcPr>
            <w:tcW w:w="115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项目单位</w:t>
            </w:r>
          </w:p>
        </w:tc>
        <w:tc>
          <w:tcPr>
            <w:tcW w:w="190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2"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团长（级别）</w:t>
            </w:r>
          </w:p>
        </w:tc>
        <w:tc>
          <w:tcPr>
            <w:tcW w:w="193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4"/>
              </w:rPr>
              <w:t>　</w:t>
            </w:r>
            <w:r>
              <w:rPr>
                <w:rFonts w:hint="eastAsia" w:ascii="宋体" w:hAnsi="宋体" w:cs="宋体"/>
                <w:kern w:val="0"/>
                <w:sz w:val="20"/>
                <w:szCs w:val="20"/>
              </w:rPr>
              <w:t>　</w:t>
            </w:r>
          </w:p>
        </w:tc>
        <w:tc>
          <w:tcPr>
            <w:tcW w:w="10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团员人数</w:t>
            </w:r>
          </w:p>
        </w:tc>
        <w:tc>
          <w:tcPr>
            <w:tcW w:w="16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99" w:hRule="atLeast"/>
        </w:trPr>
        <w:tc>
          <w:tcPr>
            <w:tcW w:w="1155"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培训国别（含经停）</w:t>
            </w:r>
          </w:p>
        </w:tc>
        <w:tc>
          <w:tcPr>
            <w:tcW w:w="40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培训天数</w:t>
            </w: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99" w:hRule="atLeast"/>
        </w:trPr>
        <w:tc>
          <w:tcPr>
            <w:tcW w:w="9015"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出国培训任务审核意见</w:t>
            </w:r>
          </w:p>
        </w:tc>
      </w:tr>
      <w:tr>
        <w:tblPrEx>
          <w:tblCellMar>
            <w:top w:w="0" w:type="dxa"/>
            <w:left w:w="108" w:type="dxa"/>
            <w:bottom w:w="0" w:type="dxa"/>
            <w:right w:w="108" w:type="dxa"/>
          </w:tblCellMar>
        </w:tblPrEx>
        <w:trPr>
          <w:wBefore w:w="0" w:type="dxa"/>
          <w:wAfter w:w="0" w:type="dxa"/>
          <w:trHeight w:val="499" w:hRule="atLeast"/>
        </w:trPr>
        <w:tc>
          <w:tcPr>
            <w:tcW w:w="115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审核单位</w:t>
            </w:r>
          </w:p>
        </w:tc>
        <w:tc>
          <w:tcPr>
            <w:tcW w:w="40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审核日期</w:t>
            </w:r>
          </w:p>
        </w:tc>
        <w:tc>
          <w:tcPr>
            <w:tcW w:w="274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99" w:hRule="atLeast"/>
        </w:trPr>
        <w:tc>
          <w:tcPr>
            <w:tcW w:w="115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审核依据</w:t>
            </w:r>
          </w:p>
        </w:tc>
        <w:tc>
          <w:tcPr>
            <w:tcW w:w="786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99" w:hRule="atLeast"/>
        </w:trPr>
        <w:tc>
          <w:tcPr>
            <w:tcW w:w="1155"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审核内容</w:t>
            </w:r>
          </w:p>
        </w:tc>
        <w:tc>
          <w:tcPr>
            <w:tcW w:w="786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培训目标或必要性：</w:t>
            </w:r>
          </w:p>
        </w:tc>
      </w:tr>
      <w:tr>
        <w:tblPrEx>
          <w:tblCellMar>
            <w:top w:w="0" w:type="dxa"/>
            <w:left w:w="108" w:type="dxa"/>
            <w:bottom w:w="0" w:type="dxa"/>
            <w:right w:w="108" w:type="dxa"/>
          </w:tblCellMar>
        </w:tblPrEx>
        <w:trPr>
          <w:wBefore w:w="0" w:type="dxa"/>
          <w:wAfter w:w="0" w:type="dxa"/>
          <w:trHeight w:val="499" w:hRule="atLeast"/>
        </w:trPr>
        <w:tc>
          <w:tcPr>
            <w:tcW w:w="1155"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786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培训时间和国别是否符合规定：</w:t>
            </w:r>
          </w:p>
        </w:tc>
      </w:tr>
      <w:tr>
        <w:tblPrEx>
          <w:tblCellMar>
            <w:top w:w="0" w:type="dxa"/>
            <w:left w:w="108" w:type="dxa"/>
            <w:bottom w:w="0" w:type="dxa"/>
            <w:right w:w="108" w:type="dxa"/>
          </w:tblCellMar>
        </w:tblPrEx>
        <w:trPr>
          <w:wBefore w:w="0" w:type="dxa"/>
          <w:wAfter w:w="0" w:type="dxa"/>
          <w:trHeight w:val="499" w:hRule="atLeast"/>
        </w:trPr>
        <w:tc>
          <w:tcPr>
            <w:tcW w:w="1155"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786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培训日程是否符合规定：</w:t>
            </w:r>
          </w:p>
        </w:tc>
      </w:tr>
      <w:tr>
        <w:tblPrEx>
          <w:tblCellMar>
            <w:top w:w="0" w:type="dxa"/>
            <w:left w:w="108" w:type="dxa"/>
            <w:bottom w:w="0" w:type="dxa"/>
            <w:right w:w="108" w:type="dxa"/>
          </w:tblCellMar>
        </w:tblPrEx>
        <w:trPr>
          <w:wBefore w:w="0" w:type="dxa"/>
          <w:wAfter w:w="0" w:type="dxa"/>
          <w:trHeight w:val="499" w:hRule="atLeast"/>
        </w:trPr>
        <w:tc>
          <w:tcPr>
            <w:tcW w:w="1155"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786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培训团组人数是否符合规定：</w:t>
            </w:r>
          </w:p>
        </w:tc>
      </w:tr>
      <w:tr>
        <w:tblPrEx>
          <w:tblCellMar>
            <w:top w:w="0" w:type="dxa"/>
            <w:left w:w="108" w:type="dxa"/>
            <w:bottom w:w="0" w:type="dxa"/>
            <w:right w:w="108" w:type="dxa"/>
          </w:tblCellMar>
        </w:tblPrEx>
        <w:trPr>
          <w:wBefore w:w="0" w:type="dxa"/>
          <w:wAfter w:w="0" w:type="dxa"/>
          <w:trHeight w:val="499" w:hRule="atLeast"/>
        </w:trPr>
        <w:tc>
          <w:tcPr>
            <w:tcW w:w="1155"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786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其他事项：</w:t>
            </w:r>
          </w:p>
        </w:tc>
      </w:tr>
      <w:tr>
        <w:tblPrEx>
          <w:tblCellMar>
            <w:top w:w="0" w:type="dxa"/>
            <w:left w:w="108" w:type="dxa"/>
            <w:bottom w:w="0" w:type="dxa"/>
            <w:right w:w="108" w:type="dxa"/>
          </w:tblCellMar>
        </w:tblPrEx>
        <w:trPr>
          <w:wBefore w:w="0" w:type="dxa"/>
          <w:wAfter w:w="0" w:type="dxa"/>
          <w:trHeight w:val="499" w:hRule="atLeast"/>
        </w:trPr>
        <w:tc>
          <w:tcPr>
            <w:tcW w:w="115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审核意见</w:t>
            </w:r>
          </w:p>
        </w:tc>
        <w:tc>
          <w:tcPr>
            <w:tcW w:w="786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99" w:hRule="atLeast"/>
        </w:trPr>
        <w:tc>
          <w:tcPr>
            <w:tcW w:w="9015"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预算财务审核意见</w:t>
            </w:r>
          </w:p>
        </w:tc>
      </w:tr>
      <w:tr>
        <w:tblPrEx>
          <w:tblCellMar>
            <w:top w:w="0" w:type="dxa"/>
            <w:left w:w="108" w:type="dxa"/>
            <w:bottom w:w="0" w:type="dxa"/>
            <w:right w:w="108" w:type="dxa"/>
          </w:tblCellMar>
        </w:tblPrEx>
        <w:trPr>
          <w:wBefore w:w="0" w:type="dxa"/>
          <w:wAfter w:w="0" w:type="dxa"/>
          <w:trHeight w:val="499"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审核单位</w:t>
            </w:r>
          </w:p>
        </w:tc>
        <w:tc>
          <w:tcPr>
            <w:tcW w:w="5171"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审核日期</w:t>
            </w:r>
          </w:p>
        </w:tc>
        <w:tc>
          <w:tcPr>
            <w:tcW w:w="16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99"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审核依据</w:t>
            </w:r>
          </w:p>
        </w:tc>
        <w:tc>
          <w:tcPr>
            <w:tcW w:w="7920"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99" w:hRule="atLeast"/>
        </w:trPr>
        <w:tc>
          <w:tcPr>
            <w:tcW w:w="10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审核内容</w:t>
            </w:r>
          </w:p>
        </w:tc>
        <w:tc>
          <w:tcPr>
            <w:tcW w:w="1080"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资金来源及金额</w:t>
            </w:r>
          </w:p>
        </w:tc>
        <w:tc>
          <w:tcPr>
            <w:tcW w:w="6840"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1.列入年度预算</w:t>
            </w:r>
            <w:r>
              <w:rPr>
                <w:rFonts w:hint="eastAsia" w:ascii="宋体" w:hAnsi="宋体" w:cs="宋体"/>
                <w:kern w:val="0"/>
                <w:sz w:val="16"/>
                <w:szCs w:val="16"/>
              </w:rPr>
              <w:t>（人民币）</w:t>
            </w:r>
            <w:r>
              <w:rPr>
                <w:rFonts w:hint="eastAsia" w:ascii="宋体" w:hAnsi="宋体" w:cs="宋体"/>
                <w:kern w:val="0"/>
                <w:sz w:val="20"/>
                <w:szCs w:val="20"/>
              </w:rPr>
              <w:t>：            元</w:t>
            </w:r>
          </w:p>
        </w:tc>
      </w:tr>
      <w:tr>
        <w:tblPrEx>
          <w:tblCellMar>
            <w:top w:w="0" w:type="dxa"/>
            <w:left w:w="108" w:type="dxa"/>
            <w:bottom w:w="0" w:type="dxa"/>
            <w:right w:w="108" w:type="dxa"/>
          </w:tblCellMar>
        </w:tblPrEx>
        <w:trPr>
          <w:wBefore w:w="0" w:type="dxa"/>
          <w:wAfter w:w="0" w:type="dxa"/>
          <w:trHeight w:val="499" w:hRule="atLeast"/>
        </w:trPr>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108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7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合计</w:t>
            </w:r>
          </w:p>
        </w:tc>
        <w:tc>
          <w:tcPr>
            <w:tcW w:w="8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培训费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国际旅费</w:t>
            </w:r>
          </w:p>
        </w:tc>
        <w:tc>
          <w:tcPr>
            <w:tcW w:w="9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住宿费</w:t>
            </w:r>
          </w:p>
        </w:tc>
        <w:tc>
          <w:tcPr>
            <w:tcW w:w="9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伙食费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公杂费</w:t>
            </w:r>
          </w:p>
        </w:tc>
        <w:tc>
          <w:tcPr>
            <w:tcW w:w="111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国外城市间交通费</w:t>
            </w:r>
          </w:p>
        </w:tc>
        <w:tc>
          <w:tcPr>
            <w:tcW w:w="65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其他费用</w:t>
            </w:r>
          </w:p>
        </w:tc>
      </w:tr>
      <w:tr>
        <w:tblPrEx>
          <w:tblCellMar>
            <w:top w:w="0" w:type="dxa"/>
            <w:left w:w="108" w:type="dxa"/>
            <w:bottom w:w="0" w:type="dxa"/>
            <w:right w:w="108" w:type="dxa"/>
          </w:tblCellMar>
        </w:tblPrEx>
        <w:trPr>
          <w:wBefore w:w="0" w:type="dxa"/>
          <w:wAfter w:w="0" w:type="dxa"/>
          <w:trHeight w:val="499" w:hRule="atLeast"/>
        </w:trPr>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108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7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99" w:hRule="atLeast"/>
        </w:trPr>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108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840"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2.外方资助</w:t>
            </w:r>
            <w:r>
              <w:rPr>
                <w:rFonts w:hint="eastAsia" w:ascii="宋体" w:hAnsi="宋体" w:cs="宋体"/>
                <w:kern w:val="0"/>
                <w:sz w:val="16"/>
                <w:szCs w:val="16"/>
              </w:rPr>
              <w:t>（折合人民币）</w:t>
            </w:r>
            <w:r>
              <w:rPr>
                <w:rFonts w:hint="eastAsia" w:ascii="宋体" w:hAnsi="宋体" w:cs="宋体"/>
                <w:kern w:val="0"/>
                <w:sz w:val="20"/>
                <w:szCs w:val="20"/>
              </w:rPr>
              <w:t>：        元；外方名称：</w:t>
            </w:r>
          </w:p>
        </w:tc>
      </w:tr>
      <w:tr>
        <w:tblPrEx>
          <w:tblCellMar>
            <w:top w:w="0" w:type="dxa"/>
            <w:left w:w="108" w:type="dxa"/>
            <w:bottom w:w="0" w:type="dxa"/>
            <w:right w:w="108" w:type="dxa"/>
          </w:tblCellMar>
        </w:tblPrEx>
        <w:trPr>
          <w:wBefore w:w="0" w:type="dxa"/>
          <w:wAfter w:w="0" w:type="dxa"/>
          <w:trHeight w:val="499" w:hRule="atLeast"/>
        </w:trPr>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108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7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合计</w:t>
            </w:r>
          </w:p>
        </w:tc>
        <w:tc>
          <w:tcPr>
            <w:tcW w:w="8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培训费</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国际旅费</w:t>
            </w:r>
          </w:p>
        </w:tc>
        <w:tc>
          <w:tcPr>
            <w:tcW w:w="9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住宿费</w:t>
            </w:r>
          </w:p>
        </w:tc>
        <w:tc>
          <w:tcPr>
            <w:tcW w:w="9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伙食费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公杂费</w:t>
            </w:r>
          </w:p>
        </w:tc>
        <w:tc>
          <w:tcPr>
            <w:tcW w:w="111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国外城市间交通费</w:t>
            </w:r>
          </w:p>
        </w:tc>
        <w:tc>
          <w:tcPr>
            <w:tcW w:w="65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其他费用</w:t>
            </w:r>
          </w:p>
        </w:tc>
      </w:tr>
      <w:tr>
        <w:tblPrEx>
          <w:tblCellMar>
            <w:top w:w="0" w:type="dxa"/>
            <w:left w:w="108" w:type="dxa"/>
            <w:bottom w:w="0" w:type="dxa"/>
            <w:right w:w="108" w:type="dxa"/>
          </w:tblCellMar>
        </w:tblPrEx>
        <w:trPr>
          <w:wBefore w:w="0" w:type="dxa"/>
          <w:wAfter w:w="0" w:type="dxa"/>
          <w:trHeight w:val="499" w:hRule="atLeast"/>
        </w:trPr>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108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7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99" w:hRule="atLeast"/>
        </w:trPr>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需说明事项</w:t>
            </w:r>
          </w:p>
        </w:tc>
        <w:tc>
          <w:tcPr>
            <w:tcW w:w="6840"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499"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审核意见</w:t>
            </w:r>
          </w:p>
        </w:tc>
        <w:tc>
          <w:tcPr>
            <w:tcW w:w="7920"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rPr>
          <w:rFonts w:hint="eastAsia" w:ascii="宋体" w:hAnsi="宋体"/>
        </w:rPr>
      </w:pPr>
    </w:p>
    <w:p>
      <w:pPr>
        <w:spacing w:line="480" w:lineRule="exact"/>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附件3：</w:t>
      </w:r>
    </w:p>
    <w:tbl>
      <w:tblPr>
        <w:tblStyle w:val="10"/>
        <w:tblW w:w="8582" w:type="dxa"/>
        <w:tblInd w:w="93" w:type="dxa"/>
        <w:tblLayout w:type="autofit"/>
        <w:tblCellMar>
          <w:top w:w="0" w:type="dxa"/>
          <w:left w:w="108" w:type="dxa"/>
          <w:bottom w:w="0" w:type="dxa"/>
          <w:right w:w="108" w:type="dxa"/>
        </w:tblCellMar>
      </w:tblPr>
      <w:tblGrid>
        <w:gridCol w:w="1466"/>
        <w:gridCol w:w="1845"/>
        <w:gridCol w:w="124"/>
        <w:gridCol w:w="956"/>
        <w:gridCol w:w="105"/>
        <w:gridCol w:w="396"/>
        <w:gridCol w:w="579"/>
        <w:gridCol w:w="484"/>
        <w:gridCol w:w="776"/>
        <w:gridCol w:w="351"/>
        <w:gridCol w:w="990"/>
        <w:gridCol w:w="510"/>
      </w:tblGrid>
      <w:tr>
        <w:tblPrEx>
          <w:tblCellMar>
            <w:top w:w="0" w:type="dxa"/>
            <w:left w:w="108" w:type="dxa"/>
            <w:bottom w:w="0" w:type="dxa"/>
            <w:right w:w="108" w:type="dxa"/>
          </w:tblCellMar>
        </w:tblPrEx>
        <w:trPr>
          <w:wBefore w:w="0" w:type="dxa"/>
          <w:wAfter w:w="0" w:type="dxa"/>
          <w:trHeight w:val="420" w:hRule="atLeast"/>
        </w:trPr>
        <w:tc>
          <w:tcPr>
            <w:tcW w:w="8582" w:type="dxa"/>
            <w:gridSpan w:val="12"/>
            <w:tcBorders>
              <w:top w:val="nil"/>
              <w:left w:val="nil"/>
              <w:bottom w:val="nil"/>
              <w:right w:val="nil"/>
            </w:tcBorders>
            <w:shd w:val="clear" w:color="auto" w:fill="auto"/>
            <w:noWrap/>
            <w:vAlign w:val="center"/>
          </w:tcPr>
          <w:p>
            <w:pPr>
              <w:widowControl/>
              <w:jc w:val="center"/>
              <w:rPr>
                <w:rFonts w:ascii="宋体" w:hAnsi="宋体" w:cs="宋体"/>
                <w:b/>
                <w:kern w:val="0"/>
                <w:sz w:val="32"/>
                <w:szCs w:val="32"/>
              </w:rPr>
            </w:pPr>
            <w:r>
              <w:rPr>
                <w:rFonts w:hint="eastAsia" w:ascii="方正仿宋_GB2312" w:hAnsi="方正仿宋_GB2312" w:eastAsia="方正仿宋_GB2312" w:cs="方正仿宋_GB2312"/>
                <w:color w:val="2B2B2B"/>
                <w:kern w:val="0"/>
                <w:sz w:val="32"/>
                <w:szCs w:val="32"/>
                <w:lang w:val="en-US" w:eastAsia="zh-CN" w:bidi="ar-SA"/>
              </w:rPr>
              <w:t>因公短期出国培训费用报销单</w:t>
            </w:r>
          </w:p>
        </w:tc>
      </w:tr>
      <w:tr>
        <w:tblPrEx>
          <w:tblCellMar>
            <w:top w:w="0" w:type="dxa"/>
            <w:left w:w="108" w:type="dxa"/>
            <w:bottom w:w="0" w:type="dxa"/>
            <w:right w:w="108" w:type="dxa"/>
          </w:tblCellMar>
        </w:tblPrEx>
        <w:trPr>
          <w:wBefore w:w="0" w:type="dxa"/>
          <w:wAfter w:w="0" w:type="dxa"/>
          <w:trHeight w:val="285" w:hRule="atLeast"/>
        </w:trPr>
        <w:tc>
          <w:tcPr>
            <w:tcW w:w="4496" w:type="dxa"/>
            <w:gridSpan w:val="5"/>
            <w:tcBorders>
              <w:top w:val="nil"/>
              <w:left w:val="nil"/>
              <w:bottom w:val="nil"/>
              <w:right w:val="nil"/>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报销单位：</w:t>
            </w:r>
          </w:p>
        </w:tc>
        <w:tc>
          <w:tcPr>
            <w:tcW w:w="396" w:type="dxa"/>
            <w:tcBorders>
              <w:top w:val="nil"/>
              <w:left w:val="nil"/>
              <w:bottom w:val="nil"/>
              <w:right w:val="nil"/>
            </w:tcBorders>
            <w:shd w:val="clear" w:color="auto" w:fill="auto"/>
            <w:noWrap/>
            <w:vAlign w:val="center"/>
          </w:tcPr>
          <w:p>
            <w:pPr>
              <w:widowControl/>
              <w:jc w:val="left"/>
              <w:rPr>
                <w:rFonts w:hint="eastAsia" w:ascii="宋体" w:hAnsi="宋体" w:cs="宋体"/>
                <w:kern w:val="0"/>
                <w:sz w:val="24"/>
              </w:rPr>
            </w:pPr>
          </w:p>
        </w:tc>
        <w:tc>
          <w:tcPr>
            <w:tcW w:w="2190" w:type="dxa"/>
            <w:gridSpan w:val="4"/>
            <w:tcBorders>
              <w:top w:val="nil"/>
              <w:left w:val="nil"/>
              <w:bottom w:val="nil"/>
              <w:right w:val="nil"/>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报销日期：</w:t>
            </w:r>
          </w:p>
        </w:tc>
        <w:tc>
          <w:tcPr>
            <w:tcW w:w="990" w:type="dxa"/>
            <w:tcBorders>
              <w:top w:val="nil"/>
              <w:left w:val="nil"/>
              <w:bottom w:val="nil"/>
              <w:right w:val="nil"/>
            </w:tcBorders>
            <w:shd w:val="clear" w:color="auto" w:fill="auto"/>
            <w:noWrap/>
            <w:vAlign w:val="center"/>
          </w:tcPr>
          <w:p>
            <w:pPr>
              <w:widowControl/>
              <w:jc w:val="left"/>
              <w:rPr>
                <w:rFonts w:hint="eastAsia" w:ascii="宋体" w:hAnsi="宋体" w:cs="宋体"/>
                <w:kern w:val="0"/>
                <w:sz w:val="24"/>
              </w:rPr>
            </w:pPr>
          </w:p>
        </w:tc>
        <w:tc>
          <w:tcPr>
            <w:tcW w:w="510" w:type="dxa"/>
            <w:tcBorders>
              <w:top w:val="nil"/>
              <w:left w:val="nil"/>
              <w:bottom w:val="nil"/>
              <w:right w:val="nil"/>
            </w:tcBorders>
            <w:shd w:val="clear" w:color="auto" w:fill="auto"/>
            <w:noWrap/>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15" w:hRule="atLeast"/>
        </w:trPr>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项目名称</w:t>
            </w:r>
          </w:p>
        </w:tc>
        <w:tc>
          <w:tcPr>
            <w:tcW w:w="7116" w:type="dxa"/>
            <w:gridSpan w:val="11"/>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91"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团长姓名</w:t>
            </w:r>
          </w:p>
        </w:tc>
        <w:tc>
          <w:tcPr>
            <w:tcW w:w="196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520"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培训国别（含经停）</w:t>
            </w:r>
          </w:p>
        </w:tc>
        <w:tc>
          <w:tcPr>
            <w:tcW w:w="262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70"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应派出人数</w:t>
            </w:r>
          </w:p>
        </w:tc>
        <w:tc>
          <w:tcPr>
            <w:tcW w:w="196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520" w:type="dxa"/>
            <w:gridSpan w:val="5"/>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rPr>
            </w:pPr>
            <w:r>
              <w:rPr>
                <w:rFonts w:hint="eastAsia" w:ascii="宋体" w:hAnsi="宋体" w:cs="宋体"/>
                <w:kern w:val="0"/>
                <w:sz w:val="24"/>
              </w:rPr>
              <w:t>实际成行人数</w:t>
            </w:r>
          </w:p>
        </w:tc>
        <w:tc>
          <w:tcPr>
            <w:tcW w:w="262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624"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出国日期</w:t>
            </w:r>
          </w:p>
        </w:tc>
        <w:tc>
          <w:tcPr>
            <w:tcW w:w="7116" w:type="dxa"/>
            <w:gridSpan w:val="11"/>
            <w:tcBorders>
              <w:top w:val="nil"/>
              <w:left w:val="nil"/>
              <w:bottom w:val="single" w:color="auto" w:sz="4" w:space="0"/>
              <w:right w:val="single" w:color="auto" w:sz="4" w:space="0"/>
            </w:tcBorders>
            <w:shd w:val="clear" w:color="auto" w:fill="auto"/>
            <w:noWrap/>
            <w:vAlign w:val="center"/>
          </w:tcPr>
          <w:p>
            <w:pPr>
              <w:widowControl/>
              <w:ind w:firstLine="480" w:firstLineChars="200"/>
              <w:jc w:val="left"/>
              <w:rPr>
                <w:rFonts w:hint="eastAsia" w:ascii="宋体" w:hAnsi="宋体" w:cs="宋体"/>
                <w:kern w:val="0"/>
                <w:sz w:val="24"/>
              </w:rPr>
            </w:pPr>
            <w:r>
              <w:rPr>
                <w:rFonts w:hint="eastAsia" w:ascii="宋体" w:hAnsi="宋体" w:cs="宋体"/>
                <w:kern w:val="0"/>
                <w:sz w:val="24"/>
              </w:rPr>
              <w:t>年   月   日至    年    月   日共     天　</w:t>
            </w:r>
          </w:p>
        </w:tc>
      </w:tr>
      <w:tr>
        <w:tblPrEx>
          <w:tblCellMar>
            <w:top w:w="0" w:type="dxa"/>
            <w:left w:w="108" w:type="dxa"/>
            <w:bottom w:w="0" w:type="dxa"/>
            <w:right w:w="108" w:type="dxa"/>
          </w:tblCellMar>
        </w:tblPrEx>
        <w:trPr>
          <w:wBefore w:w="0" w:type="dxa"/>
          <w:wAfter w:w="0" w:type="dxa"/>
          <w:trHeight w:val="390"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序号</w:t>
            </w:r>
          </w:p>
        </w:tc>
        <w:tc>
          <w:tcPr>
            <w:tcW w:w="18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开支内容</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币别</w:t>
            </w:r>
          </w:p>
        </w:tc>
        <w:tc>
          <w:tcPr>
            <w:tcW w:w="108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金额</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单据张数</w:t>
            </w:r>
          </w:p>
        </w:tc>
        <w:tc>
          <w:tcPr>
            <w:tcW w:w="1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wBefore w:w="0" w:type="dxa"/>
          <w:wAfter w:w="0" w:type="dxa"/>
          <w:trHeight w:val="390"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8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培训费</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8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附原始单据</w:t>
            </w:r>
          </w:p>
        </w:tc>
      </w:tr>
      <w:tr>
        <w:tblPrEx>
          <w:tblCellMar>
            <w:top w:w="0" w:type="dxa"/>
            <w:left w:w="108" w:type="dxa"/>
            <w:bottom w:w="0" w:type="dxa"/>
            <w:right w:w="108" w:type="dxa"/>
          </w:tblCellMar>
        </w:tblPrEx>
        <w:trPr>
          <w:wBefore w:w="0" w:type="dxa"/>
          <w:wAfter w:w="0" w:type="dxa"/>
          <w:trHeight w:val="390"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18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国际旅费</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8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附原始单据</w:t>
            </w:r>
          </w:p>
        </w:tc>
      </w:tr>
      <w:tr>
        <w:tblPrEx>
          <w:tblCellMar>
            <w:top w:w="0" w:type="dxa"/>
            <w:left w:w="108" w:type="dxa"/>
            <w:bottom w:w="0" w:type="dxa"/>
            <w:right w:w="108" w:type="dxa"/>
          </w:tblCellMar>
        </w:tblPrEx>
        <w:trPr>
          <w:wBefore w:w="0" w:type="dxa"/>
          <w:wAfter w:w="0" w:type="dxa"/>
          <w:trHeight w:val="390"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18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住宿费</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8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附原始单据</w:t>
            </w:r>
          </w:p>
        </w:tc>
      </w:tr>
      <w:tr>
        <w:tblPrEx>
          <w:tblCellMar>
            <w:top w:w="0" w:type="dxa"/>
            <w:left w:w="108" w:type="dxa"/>
            <w:bottom w:w="0" w:type="dxa"/>
            <w:right w:w="108" w:type="dxa"/>
          </w:tblCellMar>
        </w:tblPrEx>
        <w:trPr>
          <w:wBefore w:w="0" w:type="dxa"/>
          <w:wAfter w:w="0" w:type="dxa"/>
          <w:trHeight w:val="390"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18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伙食费</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8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90"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18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公杂费</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8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90"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18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城市间交通费</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8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附原始单据</w:t>
            </w:r>
          </w:p>
        </w:tc>
      </w:tr>
      <w:tr>
        <w:tblPrEx>
          <w:tblCellMar>
            <w:top w:w="0" w:type="dxa"/>
            <w:left w:w="108" w:type="dxa"/>
            <w:bottom w:w="0" w:type="dxa"/>
            <w:right w:w="108" w:type="dxa"/>
          </w:tblCellMar>
        </w:tblPrEx>
        <w:trPr>
          <w:wBefore w:w="0" w:type="dxa"/>
          <w:wAfter w:w="0" w:type="dxa"/>
          <w:trHeight w:val="390"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18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其他费用</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8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附原始单据</w:t>
            </w:r>
          </w:p>
        </w:tc>
      </w:tr>
      <w:tr>
        <w:tblPrEx>
          <w:tblCellMar>
            <w:top w:w="0" w:type="dxa"/>
            <w:left w:w="108" w:type="dxa"/>
            <w:bottom w:w="0" w:type="dxa"/>
            <w:right w:w="108" w:type="dxa"/>
          </w:tblCellMar>
        </w:tblPrEx>
        <w:trPr>
          <w:wBefore w:w="0" w:type="dxa"/>
          <w:wAfter w:w="0" w:type="dxa"/>
          <w:trHeight w:val="390" w:hRule="atLeast"/>
        </w:trPr>
        <w:tc>
          <w:tcPr>
            <w:tcW w:w="146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8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合计</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大写</w:t>
            </w:r>
          </w:p>
        </w:tc>
        <w:tc>
          <w:tcPr>
            <w:tcW w:w="108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小写</w:t>
            </w:r>
          </w:p>
        </w:tc>
        <w:tc>
          <w:tcPr>
            <w:tcW w:w="1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285" w:hRule="atLeast"/>
        </w:trPr>
        <w:tc>
          <w:tcPr>
            <w:tcW w:w="1466" w:type="dxa"/>
            <w:tcBorders>
              <w:top w:val="nil"/>
              <w:left w:val="nil"/>
              <w:bottom w:val="nil"/>
              <w:right w:val="nil"/>
            </w:tcBorders>
            <w:shd w:val="clear" w:color="auto" w:fill="auto"/>
            <w:noWrap/>
            <w:vAlign w:val="center"/>
          </w:tcPr>
          <w:p>
            <w:pPr>
              <w:widowControl/>
              <w:jc w:val="left"/>
              <w:rPr>
                <w:rFonts w:hint="eastAsia" w:ascii="宋体" w:hAnsi="宋体" w:cs="宋体"/>
                <w:kern w:val="0"/>
                <w:sz w:val="24"/>
              </w:rPr>
            </w:pPr>
          </w:p>
        </w:tc>
        <w:tc>
          <w:tcPr>
            <w:tcW w:w="1845" w:type="dxa"/>
            <w:tcBorders>
              <w:top w:val="nil"/>
              <w:left w:val="nil"/>
              <w:bottom w:val="nil"/>
              <w:right w:val="nil"/>
            </w:tcBorders>
            <w:shd w:val="clear" w:color="auto" w:fill="auto"/>
            <w:noWrap/>
            <w:vAlign w:val="center"/>
          </w:tcPr>
          <w:p>
            <w:pPr>
              <w:widowControl/>
              <w:jc w:val="left"/>
              <w:rPr>
                <w:rFonts w:hint="eastAsia" w:ascii="宋体" w:hAnsi="宋体" w:cs="宋体"/>
                <w:kern w:val="0"/>
                <w:sz w:val="24"/>
              </w:rPr>
            </w:pPr>
          </w:p>
        </w:tc>
        <w:tc>
          <w:tcPr>
            <w:tcW w:w="1080" w:type="dxa"/>
            <w:gridSpan w:val="2"/>
            <w:tcBorders>
              <w:top w:val="nil"/>
              <w:left w:val="nil"/>
              <w:bottom w:val="nil"/>
              <w:right w:val="nil"/>
            </w:tcBorders>
            <w:shd w:val="clear" w:color="auto" w:fill="auto"/>
            <w:noWrap/>
            <w:vAlign w:val="center"/>
          </w:tcPr>
          <w:p>
            <w:pPr>
              <w:widowControl/>
              <w:jc w:val="left"/>
              <w:rPr>
                <w:rFonts w:hint="eastAsia" w:ascii="宋体" w:hAnsi="宋体" w:cs="宋体"/>
                <w:kern w:val="0"/>
                <w:sz w:val="24"/>
              </w:rPr>
            </w:pPr>
          </w:p>
        </w:tc>
        <w:tc>
          <w:tcPr>
            <w:tcW w:w="1080" w:type="dxa"/>
            <w:gridSpan w:val="3"/>
            <w:tcBorders>
              <w:top w:val="nil"/>
              <w:left w:val="nil"/>
              <w:bottom w:val="nil"/>
              <w:right w:val="nil"/>
            </w:tcBorders>
            <w:shd w:val="clear" w:color="auto" w:fill="auto"/>
            <w:noWrap/>
            <w:vAlign w:val="center"/>
          </w:tcPr>
          <w:p>
            <w:pPr>
              <w:widowControl/>
              <w:jc w:val="left"/>
              <w:rPr>
                <w:rFonts w:hint="eastAsia" w:ascii="宋体" w:hAnsi="宋体" w:cs="宋体"/>
                <w:kern w:val="0"/>
                <w:sz w:val="24"/>
              </w:rPr>
            </w:pPr>
          </w:p>
        </w:tc>
        <w:tc>
          <w:tcPr>
            <w:tcW w:w="1260" w:type="dxa"/>
            <w:gridSpan w:val="2"/>
            <w:tcBorders>
              <w:top w:val="nil"/>
              <w:left w:val="nil"/>
              <w:bottom w:val="nil"/>
              <w:right w:val="nil"/>
            </w:tcBorders>
            <w:shd w:val="clear" w:color="auto" w:fill="auto"/>
            <w:noWrap/>
            <w:vAlign w:val="center"/>
          </w:tcPr>
          <w:p>
            <w:pPr>
              <w:widowControl/>
              <w:jc w:val="left"/>
              <w:rPr>
                <w:rFonts w:hint="eastAsia" w:ascii="宋体" w:hAnsi="宋体" w:cs="宋体"/>
                <w:kern w:val="0"/>
                <w:sz w:val="24"/>
              </w:rPr>
            </w:pPr>
          </w:p>
        </w:tc>
        <w:tc>
          <w:tcPr>
            <w:tcW w:w="1851" w:type="dxa"/>
            <w:gridSpan w:val="3"/>
            <w:tcBorders>
              <w:top w:val="nil"/>
              <w:left w:val="nil"/>
              <w:bottom w:val="nil"/>
              <w:right w:val="nil"/>
            </w:tcBorders>
            <w:shd w:val="clear" w:color="auto" w:fill="auto"/>
            <w:noWrap/>
            <w:vAlign w:val="center"/>
          </w:tcPr>
          <w:p>
            <w:pPr>
              <w:widowControl/>
              <w:jc w:val="left"/>
              <w:rPr>
                <w:rFonts w:hint="eastAsia" w:ascii="宋体" w:hAnsi="宋体" w:cs="宋体"/>
                <w:kern w:val="0"/>
                <w:sz w:val="24"/>
              </w:rPr>
            </w:pPr>
          </w:p>
        </w:tc>
      </w:tr>
    </w:tbl>
    <w:p>
      <w:pPr>
        <w:widowControl/>
        <w:tabs>
          <w:tab w:val="left" w:pos="1559"/>
          <w:tab w:val="left" w:pos="4485"/>
          <w:tab w:val="left" w:pos="5564"/>
          <w:tab w:val="left" w:pos="6824"/>
        </w:tabs>
        <w:ind w:left="93"/>
        <w:jc w:val="left"/>
        <w:rPr>
          <w:rFonts w:hint="eastAsia" w:ascii="宋体" w:hAnsi="宋体" w:cs="宋体"/>
          <w:kern w:val="0"/>
          <w:sz w:val="24"/>
        </w:rPr>
      </w:pPr>
      <w:r>
        <w:rPr>
          <w:rFonts w:hint="eastAsia" w:ascii="宋体" w:hAnsi="宋体" w:cs="宋体"/>
          <w:kern w:val="0"/>
          <w:sz w:val="24"/>
        </w:rPr>
        <w:t>分管院领导：</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院长：</w:t>
      </w:r>
      <w:r>
        <w:rPr>
          <w:rFonts w:hint="eastAsia" w:ascii="宋体" w:hAnsi="宋体" w:cs="宋体"/>
          <w:kern w:val="0"/>
          <w:sz w:val="24"/>
        </w:rPr>
        <w:tab/>
      </w:r>
    </w:p>
    <w:p>
      <w:pPr>
        <w:widowControl/>
        <w:tabs>
          <w:tab w:val="left" w:pos="1559"/>
          <w:tab w:val="left" w:pos="3404"/>
          <w:tab w:val="left" w:pos="4484"/>
          <w:tab w:val="left" w:pos="5564"/>
          <w:tab w:val="left" w:pos="6824"/>
        </w:tabs>
        <w:ind w:left="93"/>
        <w:jc w:val="left"/>
        <w:rPr>
          <w:rFonts w:hint="eastAsia" w:ascii="宋体" w:hAnsi="宋体" w:cs="宋体"/>
          <w:kern w:val="0"/>
          <w:sz w:val="24"/>
        </w:rPr>
      </w:pPr>
    </w:p>
    <w:p>
      <w:pPr>
        <w:widowControl/>
        <w:tabs>
          <w:tab w:val="left" w:pos="1559"/>
          <w:tab w:val="left" w:pos="3404"/>
          <w:tab w:val="left" w:pos="4484"/>
          <w:tab w:val="left" w:pos="5564"/>
          <w:tab w:val="left" w:pos="6824"/>
        </w:tabs>
        <w:ind w:left="93"/>
        <w:jc w:val="left"/>
        <w:rPr>
          <w:rFonts w:hint="eastAsia" w:ascii="宋体" w:hAnsi="宋体" w:cs="宋体"/>
          <w:kern w:val="0"/>
          <w:sz w:val="24"/>
        </w:rPr>
      </w:pPr>
      <w:r>
        <w:rPr>
          <w:rFonts w:hint="eastAsia" w:ascii="宋体" w:hAnsi="宋体" w:cs="宋体"/>
          <w:kern w:val="0"/>
          <w:sz w:val="24"/>
        </w:rPr>
        <w:t>经手人：</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团长：</w:t>
      </w:r>
      <w:r>
        <w:rPr>
          <w:rFonts w:hint="eastAsia" w:ascii="宋体" w:hAnsi="宋体" w:cs="宋体"/>
          <w:kern w:val="0"/>
          <w:sz w:val="24"/>
        </w:rPr>
        <w:tab/>
      </w:r>
      <w:r>
        <w:rPr>
          <w:rFonts w:hint="eastAsia" w:ascii="宋体" w:hAnsi="宋体" w:cs="宋体"/>
          <w:kern w:val="0"/>
          <w:sz w:val="24"/>
        </w:rPr>
        <w:tab/>
      </w:r>
    </w:p>
    <w:p>
      <w:pPr>
        <w:widowControl/>
        <w:tabs>
          <w:tab w:val="left" w:pos="1559"/>
          <w:tab w:val="left" w:pos="3404"/>
          <w:tab w:val="left" w:pos="4484"/>
          <w:tab w:val="left" w:pos="5564"/>
          <w:tab w:val="left" w:pos="6824"/>
        </w:tabs>
        <w:ind w:left="93"/>
        <w:jc w:val="left"/>
        <w:rPr>
          <w:rFonts w:hint="eastAsia" w:ascii="宋体" w:hAnsi="宋体" w:cs="宋体"/>
          <w:kern w:val="0"/>
          <w:sz w:val="24"/>
        </w:rPr>
      </w:pP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p>
    <w:p>
      <w:pPr>
        <w:widowControl/>
        <w:tabs>
          <w:tab w:val="left" w:pos="3404"/>
          <w:tab w:val="left" w:pos="4484"/>
          <w:tab w:val="left" w:pos="5564"/>
          <w:tab w:val="left" w:pos="6824"/>
        </w:tabs>
        <w:ind w:left="93"/>
        <w:jc w:val="left"/>
        <w:rPr>
          <w:rFonts w:hint="eastAsia" w:ascii="宋体" w:hAnsi="宋体" w:cs="宋体"/>
          <w:kern w:val="0"/>
          <w:sz w:val="24"/>
        </w:rPr>
      </w:pPr>
      <w:r>
        <w:rPr>
          <w:rFonts w:hint="eastAsia" w:ascii="宋体" w:hAnsi="宋体" w:cs="宋体"/>
          <w:kern w:val="0"/>
          <w:sz w:val="24"/>
        </w:rPr>
        <w:t>组织人事部门：</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财务审计部门：</w:t>
      </w:r>
      <w:r>
        <w:rPr>
          <w:rFonts w:hint="eastAsia" w:ascii="宋体" w:hAnsi="宋体" w:cs="宋体"/>
          <w:kern w:val="0"/>
          <w:sz w:val="24"/>
        </w:rPr>
        <w:tab/>
      </w:r>
      <w:r>
        <w:rPr>
          <w:rFonts w:hint="eastAsia" w:ascii="宋体" w:hAnsi="宋体" w:cs="宋体"/>
          <w:kern w:val="0"/>
          <w:sz w:val="24"/>
        </w:rPr>
        <w:tab/>
      </w:r>
    </w:p>
    <w:p>
      <w:pPr>
        <w:widowControl/>
        <w:tabs>
          <w:tab w:val="left" w:pos="1559"/>
          <w:tab w:val="left" w:pos="3404"/>
          <w:tab w:val="left" w:pos="4484"/>
          <w:tab w:val="left" w:pos="5564"/>
          <w:tab w:val="left" w:pos="6824"/>
        </w:tabs>
        <w:ind w:left="93"/>
        <w:jc w:val="left"/>
        <w:rPr>
          <w:rFonts w:ascii="宋体" w:hAnsi="宋体" w:cs="宋体"/>
          <w:kern w:val="0"/>
          <w:sz w:val="24"/>
        </w:rPr>
      </w:pP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Fonts w:ascii="宋体" w:hAnsi="宋体"/>
          <w:sz w:val="28"/>
          <w:szCs w:val="28"/>
        </w:rPr>
        <w:br w:type="page"/>
      </w:r>
      <w:r>
        <w:rPr>
          <w:rStyle w:val="13"/>
          <w:rFonts w:hint="eastAsia" w:ascii="方正小标宋简体" w:hAnsi="方正小标宋简体" w:eastAsia="方正小标宋简体" w:cs="方正小标宋简体"/>
          <w:b/>
          <w:bCs/>
          <w:color w:val="2B2B2B"/>
          <w:sz w:val="44"/>
          <w:szCs w:val="44"/>
        </w:rPr>
        <w:t>山东旅游职业学院</w:t>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Style w:val="13"/>
          <w:rFonts w:hint="eastAsia" w:ascii="方正小标宋简体" w:hAnsi="方正小标宋简体" w:eastAsia="方正小标宋简体" w:cs="方正小标宋简体"/>
          <w:b/>
          <w:bCs/>
          <w:color w:val="2B2B2B"/>
          <w:sz w:val="44"/>
          <w:szCs w:val="44"/>
        </w:rPr>
        <w:t>外宾接待经费管理实施细则</w:t>
      </w:r>
    </w:p>
    <w:p>
      <w:pPr>
        <w:numPr>
          <w:ilvl w:val="0"/>
          <w:numId w:val="2"/>
        </w:numPr>
        <w:tabs>
          <w:tab w:val="clear" w:pos="750"/>
        </w:tabs>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为进一步规范外宾接待工作，加强外宾接待经费管理，强化预算监督，根据《山东省实施&lt;党政机关厉行节约反对浪费条例&gt;办法》、《山东省省直机关外宾接待经费管理办法》等有关文件，制定本细则。</w:t>
      </w:r>
    </w:p>
    <w:p>
      <w:pPr>
        <w:numPr>
          <w:ilvl w:val="0"/>
          <w:numId w:val="2"/>
        </w:numPr>
        <w:tabs>
          <w:tab w:val="clear" w:pos="750"/>
        </w:tabs>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学院各部门、下属各单位接待国外、境外来宾使用本细则。</w:t>
      </w:r>
    </w:p>
    <w:p>
      <w:pPr>
        <w:numPr>
          <w:ilvl w:val="0"/>
          <w:numId w:val="2"/>
        </w:numPr>
        <w:tabs>
          <w:tab w:val="clear" w:pos="750"/>
        </w:tabs>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外宾接待工作应坚持服务外交、友好对等、务实节俭的原则。</w:t>
      </w:r>
    </w:p>
    <w:p>
      <w:pPr>
        <w:numPr>
          <w:ilvl w:val="0"/>
          <w:numId w:val="2"/>
        </w:numPr>
        <w:tabs>
          <w:tab w:val="clear" w:pos="750"/>
        </w:tabs>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邀请外宾来访应按照有关外事管理规定，严格执行计划审批程序。未经批准或授权，不得对外发出正式邀请或作出承诺。接待计划应明确外宾团组中由我方招待的人数、天数，费用开支范围以及资金来源、列支渠道、预算等。计划编制必须严格控制在年度外宾接待费预算内，不得突破。</w:t>
      </w:r>
    </w:p>
    <w:p>
      <w:pPr>
        <w:numPr>
          <w:ilvl w:val="0"/>
          <w:numId w:val="2"/>
        </w:numPr>
        <w:tabs>
          <w:tab w:val="clear" w:pos="750"/>
        </w:tabs>
        <w:ind w:left="0" w:firstLine="640" w:firstLineChars="200"/>
        <w:rPr>
          <w:rFonts w:hint="eastAsia" w:ascii="宋体" w:hAnsi="宋体"/>
          <w:sz w:val="28"/>
          <w:szCs w:val="28"/>
        </w:rPr>
      </w:pPr>
      <w:r>
        <w:rPr>
          <w:rFonts w:hint="eastAsia" w:ascii="方正仿宋_GB2312" w:hAnsi="方正仿宋_GB2312" w:eastAsia="方正仿宋_GB2312" w:cs="方正仿宋_GB2312"/>
          <w:color w:val="2B2B2B"/>
          <w:kern w:val="0"/>
          <w:sz w:val="32"/>
          <w:szCs w:val="32"/>
          <w:lang w:val="en-US" w:eastAsia="zh-CN" w:bidi="ar-SA"/>
        </w:rPr>
        <w:t>外</w:t>
      </w:r>
      <w:r>
        <w:rPr>
          <w:rFonts w:hint="eastAsia" w:ascii="方正仿宋_GB2312" w:hAnsi="方正仿宋_GB2312" w:eastAsia="方正仿宋_GB2312" w:cs="方正仿宋_GB2312"/>
          <w:color w:val="2B2B2B"/>
          <w:kern w:val="0"/>
          <w:sz w:val="32"/>
          <w:szCs w:val="32"/>
          <w:lang w:val="en-US" w:eastAsia="zh-CN" w:bidi="ar-SA"/>
        </w:rPr>
        <w:t>宾接待费纳入预算管理，接待部门、单位应加强预算管理，控制预算规模，不得超预算或无预算安排外宾接待。</w:t>
      </w:r>
    </w:p>
    <w:p>
      <w:pPr>
        <w:numPr>
          <w:ilvl w:val="0"/>
          <w:numId w:val="2"/>
        </w:numPr>
        <w:tabs>
          <w:tab w:val="clear" w:pos="750"/>
        </w:tabs>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对应邀来我院的外宾，应根据互惠对等原则或外事交流协议等，区分为全部招待、部分招待和外宾自理。</w:t>
      </w:r>
    </w:p>
    <w:p>
      <w:pPr>
        <w:ind w:firstLine="640" w:firstLineChars="200"/>
        <w:rPr>
          <w:rFonts w:hint="eastAsia" w:ascii="宋体" w:hAnsi="宋体"/>
          <w:sz w:val="28"/>
          <w:szCs w:val="28"/>
        </w:rPr>
      </w:pPr>
      <w:r>
        <w:rPr>
          <w:rFonts w:hint="eastAsia" w:ascii="方正仿宋_GB2312" w:hAnsi="方正仿宋_GB2312" w:eastAsia="方正仿宋_GB2312" w:cs="方正仿宋_GB2312"/>
          <w:color w:val="2B2B2B"/>
          <w:kern w:val="0"/>
          <w:sz w:val="32"/>
          <w:szCs w:val="32"/>
          <w:lang w:val="en-US" w:eastAsia="zh-CN" w:bidi="ar-SA"/>
        </w:rPr>
        <w:t>无互惠对等原则及外事</w:t>
      </w:r>
      <w:r>
        <w:rPr>
          <w:rFonts w:hint="eastAsia" w:ascii="方正仿宋_GB2312" w:hAnsi="方正仿宋_GB2312" w:eastAsia="方正仿宋_GB2312" w:cs="方正仿宋_GB2312"/>
          <w:color w:val="2B2B2B"/>
          <w:kern w:val="0"/>
          <w:sz w:val="32"/>
          <w:szCs w:val="32"/>
          <w:lang w:val="en-US" w:eastAsia="zh-CN" w:bidi="ar-SA"/>
        </w:rPr>
        <w:t>交流协议的，招待天数不得超过5天（含抵、离境当天），招待人数从严控制，超出规定天数和人数的，一律由外宾自理。</w:t>
      </w:r>
    </w:p>
    <w:p>
      <w:pPr>
        <w:numPr>
          <w:ilvl w:val="0"/>
          <w:numId w:val="2"/>
        </w:numPr>
        <w:ind w:left="0" w:firstLine="640" w:firstLineChars="200"/>
        <w:rPr>
          <w:rFonts w:hint="eastAsia" w:ascii="宋体" w:hAnsi="宋体"/>
          <w:sz w:val="28"/>
          <w:szCs w:val="28"/>
        </w:rPr>
      </w:pPr>
      <w:r>
        <w:rPr>
          <w:rFonts w:hint="eastAsia" w:ascii="方正仿宋_GB2312" w:hAnsi="方正仿宋_GB2312" w:eastAsia="方正仿宋_GB2312" w:cs="方正仿宋_GB2312"/>
          <w:color w:val="2B2B2B"/>
          <w:kern w:val="0"/>
          <w:sz w:val="32"/>
          <w:szCs w:val="32"/>
          <w:lang w:val="en-US" w:eastAsia="zh-CN" w:bidi="ar-SA"/>
        </w:rPr>
        <w:t>从严从紧控制外宾接待经费，严格执行接待费开支标准，不得擅自突破，不得摊派、转嫁费用。接待费报销支付采用银行转账或公务卡方式结算，不得以现金方式支付</w:t>
      </w:r>
      <w:r>
        <w:rPr>
          <w:rFonts w:hint="eastAsia" w:ascii="宋体" w:hAnsi="宋体"/>
          <w:sz w:val="28"/>
          <w:szCs w:val="28"/>
        </w:rPr>
        <w:t>。</w:t>
      </w:r>
    </w:p>
    <w:p>
      <w:pPr>
        <w:numPr>
          <w:ilvl w:val="0"/>
          <w:numId w:val="2"/>
        </w:numPr>
        <w:ind w:left="0" w:firstLine="640" w:firstLineChars="200"/>
        <w:rPr>
          <w:rFonts w:hint="eastAsia" w:ascii="宋体" w:hAnsi="宋体"/>
          <w:sz w:val="28"/>
          <w:szCs w:val="28"/>
        </w:rPr>
      </w:pPr>
      <w:r>
        <w:rPr>
          <w:rFonts w:hint="eastAsia" w:ascii="方正仿宋_GB2312" w:hAnsi="方正仿宋_GB2312" w:eastAsia="方正仿宋_GB2312" w:cs="方正仿宋_GB2312"/>
          <w:color w:val="2B2B2B"/>
          <w:kern w:val="0"/>
          <w:sz w:val="32"/>
          <w:szCs w:val="32"/>
          <w:lang w:val="en-US" w:eastAsia="zh-CN" w:bidi="ar-SA"/>
        </w:rPr>
        <w:t>外宾接待经费开支范围主要包括：住宿费、日常伙食费、宴请费、交通费、赠礼等。原则上不得列支外宾来华国际旅费。</w:t>
      </w:r>
    </w:p>
    <w:p>
      <w:pPr>
        <w:numPr>
          <w:ilvl w:val="0"/>
          <w:numId w:val="2"/>
        </w:numPr>
        <w:ind w:left="0" w:firstLine="640" w:firstLineChars="200"/>
        <w:rPr>
          <w:rFonts w:hint="eastAsia" w:ascii="宋体" w:hAnsi="宋体"/>
          <w:sz w:val="28"/>
          <w:szCs w:val="28"/>
        </w:rPr>
      </w:pPr>
      <w:r>
        <w:rPr>
          <w:rFonts w:hint="eastAsia" w:ascii="方正仿宋_GB2312" w:hAnsi="方正仿宋_GB2312" w:eastAsia="方正仿宋_GB2312" w:cs="方正仿宋_GB2312"/>
          <w:color w:val="2B2B2B"/>
          <w:kern w:val="0"/>
          <w:sz w:val="32"/>
          <w:szCs w:val="32"/>
          <w:lang w:val="en-US" w:eastAsia="zh-CN" w:bidi="ar-SA"/>
        </w:rPr>
        <w:t>副部长级及以上人员或相当职务人员率领的外宾代表团住宿，可安排在五星级、四星级宾馆，副部长级及以上人员或相当职务人员可安排套间；其他代表团住宿，最高不超过四星级宾馆，安排标准间。住宿应安排在政府采购定点单位或学院内部实训中心。</w:t>
      </w:r>
    </w:p>
    <w:p>
      <w:pPr>
        <w:numPr>
          <w:ilvl w:val="0"/>
          <w:numId w:val="2"/>
        </w:numPr>
        <w:ind w:left="0" w:firstLine="640" w:firstLineChars="200"/>
        <w:rPr>
          <w:rFonts w:hint="eastAsia" w:ascii="宋体" w:hAnsi="宋体"/>
          <w:sz w:val="28"/>
          <w:szCs w:val="28"/>
        </w:rPr>
      </w:pPr>
      <w:r>
        <w:rPr>
          <w:rFonts w:hint="eastAsia" w:ascii="方正仿宋_GB2312" w:hAnsi="方正仿宋_GB2312" w:eastAsia="方正仿宋_GB2312" w:cs="方正仿宋_GB2312"/>
          <w:color w:val="2B2B2B"/>
          <w:kern w:val="0"/>
          <w:sz w:val="32"/>
          <w:szCs w:val="32"/>
          <w:lang w:val="en-US" w:eastAsia="zh-CN" w:bidi="ar-SA"/>
        </w:rPr>
        <w:t>外宾日常伙食招待提倡采用自助餐等形式，国家元首、政府首脑级日常伙食费（含酒水、饮料）标准每人每天不超过600元，副总统、副总理和正副议长级每人每天不超过550元，正副部长级每人每天不超过500元，其他人员每人每天不超过300元。</w:t>
      </w:r>
    </w:p>
    <w:p>
      <w:pPr>
        <w:numPr>
          <w:ilvl w:val="0"/>
          <w:numId w:val="2"/>
        </w:numPr>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宴请外宾除宴会外，提倡采用冷餐会、酒会、茶会等多种形式，正副省级人员出面举办的宴会，外宾宴请费（含酒水、饮料）标准每人每次不超过400元，厅局级及以下人员出面举办的宴会，每人每次不超过300元。冷餐、酒会、茶</w:t>
      </w:r>
      <w:r>
        <w:rPr>
          <w:rFonts w:hint="eastAsia" w:ascii="方正仿宋_GB2312" w:hAnsi="方正仿宋_GB2312" w:eastAsia="方正仿宋_GB2312" w:cs="方正仿宋_GB2312"/>
          <w:color w:val="2B2B2B"/>
          <w:kern w:val="0"/>
          <w:sz w:val="32"/>
          <w:szCs w:val="32"/>
          <w:lang w:val="en-US" w:eastAsia="zh-CN" w:bidi="ar-SA"/>
        </w:rPr>
        <w:t>会分别为每人每次不超过150元、100元、60元。外宾</w:t>
      </w:r>
      <w:r>
        <w:rPr>
          <w:rFonts w:hint="eastAsia" w:ascii="方正仿宋_GB2312" w:hAnsi="方正仿宋_GB2312" w:eastAsia="方正仿宋_GB2312" w:cs="方正仿宋_GB2312"/>
          <w:color w:val="2B2B2B"/>
          <w:kern w:val="0"/>
          <w:sz w:val="32"/>
          <w:szCs w:val="32"/>
          <w:lang w:val="en-US" w:eastAsia="zh-CN" w:bidi="ar-SA"/>
        </w:rPr>
        <w:t>在华期间宴请不得超过2次。</w:t>
      </w:r>
    </w:p>
    <w:p>
      <w:pPr>
        <w:numPr>
          <w:ilvl w:val="0"/>
          <w:numId w:val="2"/>
        </w:numPr>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外宾出行应根据实际情况，可视人数多少安排小轿车、中巴或大巴车。确需租用车辆的，应选择资质合格、运营规范的汽车租赁公司。外宾选择交通工具的标准参照学院差旅费管理办法，确因工作需要并经学院主要负责人批准，外方主宾的重要随从人员可随主宾乘坐相应舱</w:t>
      </w:r>
      <w:r>
        <w:rPr>
          <w:rFonts w:hint="eastAsia" w:ascii="方正仿宋_GB2312" w:hAnsi="方正仿宋_GB2312" w:eastAsia="方正仿宋_GB2312" w:cs="方正仿宋_GB2312"/>
          <w:color w:val="2B2B2B"/>
          <w:kern w:val="0"/>
          <w:sz w:val="32"/>
          <w:szCs w:val="32"/>
          <w:lang w:val="en-US" w:eastAsia="zh-CN" w:bidi="ar-SA"/>
        </w:rPr>
        <w:t>位，原则上按随行不超过1人来安排。外宾途中伙食费按日常伙食费标准执行。</w:t>
      </w:r>
    </w:p>
    <w:p>
      <w:pPr>
        <w:numPr>
          <w:ilvl w:val="0"/>
          <w:numId w:val="2"/>
        </w:numPr>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对外赠礼，应尽量选择具有山东特色的纪念品、传统工艺品和实用物品，不求奢华。赠礼对象仅为外方团长夫妇，必要时可包括主要陪同人员，原则上赠礼1次；如外方赠礼，可按对等原则回礼。对外赠礼以赠礼方或受礼方级别较高一方确定赠礼标准，正副省（部长）级人员，每人次礼品不得超过400元；厅（司）局级人员，每人次礼品不得超过200元；其他人员，可视情况赠送小纪念品。对访问我院的著名友好人士、社会名流、专家学者赠礼，按照正、副省（部长）级人员标准执行。</w:t>
      </w:r>
    </w:p>
    <w:p>
      <w:pPr>
        <w:numPr>
          <w:ilvl w:val="0"/>
          <w:numId w:val="2"/>
        </w:numPr>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外宾访问期间的医药、邮电通讯、洗衣、理发等费用自理。</w:t>
      </w:r>
    </w:p>
    <w:p>
      <w:pPr>
        <w:numPr>
          <w:ilvl w:val="0"/>
          <w:numId w:val="2"/>
        </w:numPr>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宴</w:t>
      </w:r>
      <w:r>
        <w:rPr>
          <w:rFonts w:hint="eastAsia" w:ascii="方正仿宋_GB2312" w:hAnsi="方正仿宋_GB2312" w:eastAsia="方正仿宋_GB2312" w:cs="方正仿宋_GB2312"/>
          <w:color w:val="2B2B2B"/>
          <w:kern w:val="0"/>
          <w:sz w:val="32"/>
          <w:szCs w:val="32"/>
          <w:lang w:val="en-US" w:eastAsia="zh-CN" w:bidi="ar-SA"/>
        </w:rPr>
        <w:t>请外宾的中方陪同人员，外宾5人（含）以内的，中外人数原则上在1:1以内安排；外宾超过5人的，超过部分中外人数原则上在1:2以内安排。</w:t>
      </w:r>
    </w:p>
    <w:p>
      <w:pPr>
        <w:numPr>
          <w:ilvl w:val="0"/>
          <w:numId w:val="2"/>
        </w:numPr>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陪同人员确需与外宾同餐、同住、同行的，按差旅费管理有关规定执行。接待工作人员在接待活动期间，确因工作需要不能按时用餐的，经学院主要负责人批准，可按每人每次50元的标准领取误餐补助。</w:t>
      </w:r>
    </w:p>
    <w:p>
      <w:pPr>
        <w:numPr>
          <w:ilvl w:val="0"/>
          <w:numId w:val="2"/>
        </w:numPr>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外宾接待经费的预决算应按照信息公开有关规定，及时公开，接受社会监督。</w:t>
      </w:r>
    </w:p>
    <w:p>
      <w:pPr>
        <w:numPr>
          <w:ilvl w:val="0"/>
          <w:numId w:val="2"/>
        </w:numPr>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接待部门、单位应如实提供包括接待计划、经费预算、开支报销凭证等在内的相关资料，自觉接受审计部门检查。</w:t>
      </w:r>
    </w:p>
    <w:p>
      <w:pPr>
        <w:numPr>
          <w:ilvl w:val="0"/>
          <w:numId w:val="2"/>
        </w:numPr>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对违反本细则规定，有下列行为之一的，按照有关规定，责令整改，追回资金，并追究有关人员责任：</w:t>
      </w:r>
    </w:p>
    <w:p>
      <w:pPr>
        <w:numPr>
          <w:ilvl w:val="0"/>
          <w:numId w:val="3"/>
        </w:numPr>
        <w:ind w:left="0" w:firstLine="640" w:firstLineChars="200"/>
        <w:rPr>
          <w:rFonts w:hint="eastAsia" w:ascii="宋体" w:hAnsi="宋体"/>
          <w:sz w:val="28"/>
          <w:szCs w:val="28"/>
        </w:rPr>
      </w:pPr>
      <w:r>
        <w:rPr>
          <w:rFonts w:hint="eastAsia" w:ascii="方正仿宋_GB2312" w:hAnsi="方正仿宋_GB2312" w:eastAsia="方正仿宋_GB2312" w:cs="方正仿宋_GB2312"/>
          <w:color w:val="2B2B2B"/>
          <w:kern w:val="0"/>
          <w:sz w:val="32"/>
          <w:szCs w:val="32"/>
          <w:lang w:val="en-US" w:eastAsia="zh-CN" w:bidi="ar-SA"/>
        </w:rPr>
        <w:t>擅自提高接待开支标准的；</w:t>
      </w:r>
    </w:p>
    <w:p>
      <w:pPr>
        <w:numPr>
          <w:ilvl w:val="0"/>
          <w:numId w:val="3"/>
        </w:numPr>
        <w:ind w:left="0" w:firstLine="640" w:firstLineChars="200"/>
        <w:rPr>
          <w:rFonts w:hint="eastAsia" w:ascii="宋体" w:hAnsi="宋体"/>
          <w:sz w:val="28"/>
          <w:szCs w:val="28"/>
        </w:rPr>
      </w:pPr>
      <w:r>
        <w:rPr>
          <w:rFonts w:hint="eastAsia" w:ascii="方正仿宋_GB2312" w:hAnsi="方正仿宋_GB2312" w:eastAsia="方正仿宋_GB2312" w:cs="方正仿宋_GB2312"/>
          <w:color w:val="2B2B2B"/>
          <w:kern w:val="0"/>
          <w:sz w:val="32"/>
          <w:szCs w:val="32"/>
          <w:lang w:val="en-US" w:eastAsia="zh-CN" w:bidi="ar-SA"/>
        </w:rPr>
        <w:t>计划未经批准接待外宾的</w:t>
      </w:r>
      <w:r>
        <w:rPr>
          <w:rFonts w:hint="eastAsia" w:ascii="宋体" w:hAnsi="宋体"/>
          <w:sz w:val="28"/>
          <w:szCs w:val="28"/>
        </w:rPr>
        <w:t>；</w:t>
      </w:r>
    </w:p>
    <w:p>
      <w:pPr>
        <w:numPr>
          <w:ilvl w:val="0"/>
          <w:numId w:val="3"/>
        </w:numPr>
        <w:ind w:left="0" w:firstLine="640" w:firstLineChars="200"/>
        <w:rPr>
          <w:rFonts w:hint="eastAsia" w:ascii="宋体" w:hAnsi="宋体"/>
          <w:sz w:val="28"/>
          <w:szCs w:val="28"/>
        </w:rPr>
      </w:pPr>
      <w:r>
        <w:rPr>
          <w:rFonts w:hint="eastAsia" w:ascii="方正仿宋_GB2312" w:hAnsi="方正仿宋_GB2312" w:eastAsia="方正仿宋_GB2312" w:cs="方正仿宋_GB2312"/>
          <w:color w:val="2B2B2B"/>
          <w:kern w:val="0"/>
          <w:sz w:val="32"/>
          <w:szCs w:val="32"/>
          <w:lang w:val="en-US" w:eastAsia="zh-CN" w:bidi="ar-SA"/>
        </w:rPr>
        <w:t>违规扩大外宾接待开支范围，或报销与接待无关的费用的；</w:t>
      </w:r>
    </w:p>
    <w:p>
      <w:pPr>
        <w:numPr>
          <w:ilvl w:val="0"/>
          <w:numId w:val="3"/>
        </w:numPr>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虚报外宾接待级别、人数、天数，套取接待经费的；</w:t>
      </w:r>
    </w:p>
    <w:p>
      <w:pPr>
        <w:numPr>
          <w:ilvl w:val="0"/>
          <w:numId w:val="3"/>
        </w:numPr>
        <w:ind w:left="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使用虚假发票报销接待费用的；</w:t>
      </w:r>
    </w:p>
    <w:p>
      <w:pPr>
        <w:numPr>
          <w:ilvl w:val="0"/>
          <w:numId w:val="3"/>
        </w:numPr>
        <w:ind w:left="0" w:firstLine="640" w:firstLineChars="200"/>
        <w:rPr>
          <w:rFonts w:hint="eastAsia" w:ascii="宋体" w:hAnsi="宋体"/>
          <w:sz w:val="28"/>
          <w:szCs w:val="28"/>
        </w:rPr>
      </w:pPr>
      <w:r>
        <w:rPr>
          <w:rFonts w:hint="eastAsia" w:ascii="方正仿宋_GB2312" w:hAnsi="方正仿宋_GB2312" w:eastAsia="方正仿宋_GB2312" w:cs="方正仿宋_GB2312"/>
          <w:color w:val="2B2B2B"/>
          <w:kern w:val="0"/>
          <w:sz w:val="32"/>
          <w:szCs w:val="32"/>
          <w:lang w:val="en-US" w:eastAsia="zh-CN" w:bidi="ar-SA"/>
        </w:rPr>
        <w:t>其他</w:t>
      </w:r>
      <w:r>
        <w:rPr>
          <w:rFonts w:hint="eastAsia" w:ascii="方正仿宋_GB2312" w:hAnsi="方正仿宋_GB2312" w:eastAsia="方正仿宋_GB2312" w:cs="方正仿宋_GB2312"/>
          <w:color w:val="2B2B2B"/>
          <w:kern w:val="0"/>
          <w:sz w:val="32"/>
          <w:szCs w:val="32"/>
          <w:lang w:val="en-US" w:eastAsia="zh-CN" w:bidi="ar-SA"/>
        </w:rPr>
        <w:t>违反本细则的行为</w:t>
      </w:r>
      <w:r>
        <w:rPr>
          <w:rFonts w:hint="eastAsia" w:ascii="宋体" w:hAnsi="宋体"/>
          <w:sz w:val="28"/>
          <w:szCs w:val="28"/>
        </w:rPr>
        <w:t>。</w:t>
      </w:r>
    </w:p>
    <w:p>
      <w:pPr>
        <w:ind w:firstLine="640" w:firstLineChars="200"/>
        <w:rPr>
          <w:rFonts w:hint="eastAsia" w:ascii="宋体" w:hAnsi="宋体"/>
          <w:sz w:val="28"/>
          <w:szCs w:val="28"/>
        </w:rPr>
      </w:pPr>
      <w:r>
        <w:rPr>
          <w:rFonts w:hint="eastAsia" w:ascii="方正楷体_GB2312" w:hAnsi="方正楷体_GB2312" w:eastAsia="方正楷体_GB2312" w:cs="方正楷体_GB2312"/>
          <w:color w:val="2B2B2B"/>
          <w:kern w:val="0"/>
          <w:sz w:val="32"/>
          <w:szCs w:val="32"/>
          <w:lang w:val="en-US" w:eastAsia="zh-CN" w:bidi="ar-SA"/>
        </w:rPr>
        <w:t>第二十条</w:t>
      </w:r>
      <w:r>
        <w:rPr>
          <w:rFonts w:hint="eastAsia" w:ascii="宋体" w:hAnsi="宋体"/>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本实施细则由财务审计处负责解释。</w:t>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Fonts w:ascii="宋体" w:hAnsi="宋体"/>
          <w:sz w:val="28"/>
          <w:szCs w:val="28"/>
        </w:rPr>
        <w:br w:type="page"/>
      </w:r>
      <w:r>
        <w:rPr>
          <w:rStyle w:val="13"/>
          <w:rFonts w:hint="eastAsia" w:ascii="方正小标宋简体" w:hAnsi="方正小标宋简体" w:eastAsia="方正小标宋简体" w:cs="方正小标宋简体"/>
          <w:b/>
          <w:bCs/>
          <w:color w:val="2B2B2B"/>
          <w:sz w:val="44"/>
          <w:szCs w:val="44"/>
        </w:rPr>
        <w:t>山东旅游职业学院</w:t>
      </w:r>
    </w:p>
    <w:p>
      <w:pPr>
        <w:pStyle w:val="9"/>
        <w:spacing w:before="0" w:beforeAutospacing="0" w:after="0" w:afterAutospacing="0"/>
        <w:jc w:val="center"/>
        <w:rPr>
          <w:rFonts w:ascii="宋体" w:hAnsi="宋体" w:cs="宋体"/>
          <w:color w:val="333333"/>
          <w:kern w:val="0"/>
          <w:sz w:val="32"/>
          <w:szCs w:val="32"/>
        </w:rPr>
      </w:pPr>
      <w:r>
        <w:rPr>
          <w:rStyle w:val="13"/>
          <w:rFonts w:hint="eastAsia" w:ascii="方正小标宋简体" w:hAnsi="方正小标宋简体" w:eastAsia="方正小标宋简体" w:cs="方正小标宋简体"/>
          <w:b/>
          <w:bCs/>
          <w:color w:val="2B2B2B"/>
          <w:sz w:val="44"/>
          <w:szCs w:val="44"/>
        </w:rPr>
        <w:t>公务卡报销结算暂行办法</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第一章 总则</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第一条</w:t>
      </w:r>
      <w:r>
        <w:rPr>
          <w:rFonts w:hint="eastAsia" w:ascii="方正仿宋_GB2312" w:hAnsi="方正仿宋_GB2312" w:eastAsia="方正仿宋_GB2312" w:cs="方正仿宋_GB2312"/>
          <w:color w:val="2B2B2B"/>
          <w:kern w:val="0"/>
          <w:sz w:val="32"/>
          <w:szCs w:val="32"/>
          <w:lang w:val="en-US" w:eastAsia="zh-CN" w:bidi="ar-SA"/>
        </w:rPr>
        <w:t xml:space="preserve">  为</w:t>
      </w:r>
      <w:r>
        <w:rPr>
          <w:rFonts w:hint="eastAsia" w:ascii="方正仿宋_GB2312" w:hAnsi="方正仿宋_GB2312" w:eastAsia="方正仿宋_GB2312" w:cs="方正仿宋_GB2312"/>
          <w:color w:val="2B2B2B"/>
          <w:kern w:val="0"/>
          <w:sz w:val="32"/>
          <w:szCs w:val="32"/>
          <w:lang w:val="en-US" w:eastAsia="zh-CN" w:bidi="ar-SA"/>
        </w:rPr>
        <w:t>进一步贯彻落实财政部、中国人民银行关于公务卡改革的要求和部署，规范公务消费报销程序，提高公务消费支付透明度，方便职工公务消费结算报销，严格控制现金结算，提高财务管理和服务水平，根据省财政厅、中国人民银行济南分行《关于印发〈山东省省级预算单位公务卡改革实施意见〉的通知》（鲁财库〔2008〕26 号）、《关于印发〈山东省省级预算单位公务卡管理暂行办法〉的通知》（鲁财库〔2008〕27 号）和《关于建立省级预算单位公务卡强制消费目录制度的通知》（鲁财库[2011]27号）的相关规定，结合我院实际，制定本办法。</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本办法所称公务卡，是指在职工作人员个人持有的，主要用于日常公务支出和财务报销业务的信用卡。</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公务卡以我校职工个人名义申请开立，职工作为持卡人，并承担相应的经济、法律责任。</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第二章 公务卡的开立与管理</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第四条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公务卡开立的基本程序：</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（一）因涉及公务支出报销的在职职工如实填写“公务卡申请表”，连同相关证明材料一起交财务审计处；</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（二）财务审计处对职工申请开卡的相关资料进行确认，并将申请资料送交发卡银行；</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（三）发卡银行按照有关规定办理公务卡的开立手续。</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第五条  </w:t>
      </w:r>
      <w:r>
        <w:rPr>
          <w:rFonts w:hint="eastAsia" w:ascii="方正仿宋_GB2312" w:hAnsi="方正仿宋_GB2312" w:eastAsia="方正仿宋_GB2312" w:cs="方正仿宋_GB2312"/>
          <w:color w:val="2B2B2B"/>
          <w:kern w:val="0"/>
          <w:sz w:val="32"/>
          <w:szCs w:val="32"/>
          <w:lang w:val="en-US" w:eastAsia="zh-CN" w:bidi="ar-SA"/>
        </w:rPr>
        <w:t>公务卡申办完成后，由发卡银行对持卡人姓名和卡号等信息进行统一管理维护。</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第六条  </w:t>
      </w:r>
      <w:r>
        <w:rPr>
          <w:rFonts w:hint="eastAsia" w:ascii="方正仿宋_GB2312" w:hAnsi="方正仿宋_GB2312" w:eastAsia="方正仿宋_GB2312" w:cs="方正仿宋_GB2312"/>
          <w:color w:val="2B2B2B"/>
          <w:kern w:val="0"/>
          <w:sz w:val="32"/>
          <w:szCs w:val="32"/>
          <w:lang w:val="en-US" w:eastAsia="zh-CN" w:bidi="ar-SA"/>
        </w:rPr>
        <w:t>公务卡为实名制信用卡，卡片和密码均由持卡人自行负责保管。公务卡遗失或损毁后的补办等事项，由持卡人自行到发卡银行申请办理，并及时通知财务审计处。</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第七条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持卡人应规范使用公务卡办理支付结算业务，并及时到财务审计处办理报销手续，及时归还公务卡项下的银行欠款。</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第八条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新增在职职工，应及时办理公务卡申领手续。现有持卡人在离职、调动、退休时，应按要求清理公务卡项下的债务，及时办理公务卡停止使用手续，并通知发卡银行。</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第九条  </w:t>
      </w:r>
      <w:r>
        <w:rPr>
          <w:rFonts w:hint="eastAsia" w:ascii="方正仿宋_GB2312" w:hAnsi="方正仿宋_GB2312" w:eastAsia="方正仿宋_GB2312" w:cs="方正仿宋_GB2312"/>
          <w:color w:val="2B2B2B"/>
          <w:kern w:val="0"/>
          <w:sz w:val="32"/>
          <w:szCs w:val="32"/>
          <w:lang w:val="en-US" w:eastAsia="zh-CN" w:bidi="ar-SA"/>
        </w:rPr>
        <w:t>公务卡日常对账由持卡人自行负责，如有遗失，持卡人应尽快拨打发卡银行24小时客户服务热线挂失。</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第十条  </w:t>
      </w:r>
      <w:r>
        <w:rPr>
          <w:rFonts w:hint="eastAsia" w:ascii="方正仿宋_GB2312" w:hAnsi="方正仿宋_GB2312" w:eastAsia="方正仿宋_GB2312" w:cs="方正仿宋_GB2312"/>
          <w:color w:val="2B2B2B"/>
          <w:kern w:val="0"/>
          <w:sz w:val="32"/>
          <w:szCs w:val="32"/>
          <w:lang w:val="en-US" w:eastAsia="zh-CN" w:bidi="ar-SA"/>
        </w:rPr>
        <w:t>公务卡的信用额度，由发卡银行根据持卡人的申请，核实持卡人资信情况后确定。</w:t>
      </w:r>
    </w:p>
    <w:p>
      <w:pPr>
        <w:widowControl/>
        <w:shd w:val="clear" w:color="auto" w:fill="FFFFFF"/>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公务卡的使用范围</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第十一条  </w:t>
      </w:r>
      <w:r>
        <w:rPr>
          <w:rFonts w:hint="eastAsia" w:ascii="方正仿宋_GB2312" w:hAnsi="方正仿宋_GB2312" w:eastAsia="方正仿宋_GB2312" w:cs="方正仿宋_GB2312"/>
          <w:color w:val="2B2B2B"/>
          <w:kern w:val="0"/>
          <w:sz w:val="32"/>
          <w:szCs w:val="32"/>
          <w:lang w:val="en-US" w:eastAsia="zh-CN" w:bidi="ar-SA"/>
        </w:rPr>
        <w:t>按</w:t>
      </w:r>
      <w:r>
        <w:rPr>
          <w:rFonts w:hint="eastAsia" w:ascii="方正仿宋_GB2312" w:hAnsi="方正仿宋_GB2312" w:eastAsia="方正仿宋_GB2312" w:cs="方正仿宋_GB2312"/>
          <w:color w:val="2B2B2B"/>
          <w:kern w:val="0"/>
          <w:sz w:val="32"/>
          <w:szCs w:val="32"/>
          <w:lang w:val="en-US" w:eastAsia="zh-CN" w:bidi="ar-SA"/>
        </w:rPr>
        <w:t>照山东省财政厅《关于建立省级预算单位公务卡强制消费目录制度的通知》（鲁财库[2011]27号）要求，所有公务支出都要严格执行公务卡强制消费目录（详见附件）。凡目录规定的公务支出项目，应按规定使用公务卡结算，不再使用现金结算；原使用转账方式结算的，可继续使用转账方式；特殊情况确实不能使用公务卡结算的，持卡人须请示学校领导批准。对公务卡强制消费目录以外的其他公务支出项目，鼓励和提倡使用公务卡结算，扩大公务卡使用范围。</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第十二条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下列情况，可以暂不使用公务卡或转账结算：</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（一）在县级及县级以下地区不具备刷卡条件的场所发生的单笔消费在1000元以下的公务支出；</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（二）按规定支付给个人的支出；</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（三）快递费、停车费、车票（火车票、公共汽车、出租车）、过路费等目前只能使用现金结算的公务支出。</w:t>
      </w:r>
    </w:p>
    <w:p>
      <w:pPr>
        <w:widowControl/>
        <w:shd w:val="clear" w:color="auto" w:fill="FFFFFF"/>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公务卡消费的报销程序</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第十二条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公务卡结算不改变学校现行的财务管理制度、报销审批程序和会计核算方法。利用公务卡进行公务消费应先履行请示、审批制度。</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第十三条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山东省省级预算单位公务卡强制消费目录规定的各项公务支出，应在公务卡信用额度内，通过公务卡结算，并取得公务卡消费交易凭条（POS小票）和报销发票等财务报销凭证。无公务卡消费交易凭条一律不予报销结算。</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第十四条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持卡人应在发卡银行约定还款日二十个工作日之前填写原始单据整理单，单内附消费交易凭条和正规发票，按现行的报销程序到财务审计处审核报销。逾期不履行报销手续办理结算，导致违约还款产生的罚息，由持卡人自行承担。</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确因工作原因，持卡人不能在规定的免息还款期内返回学校办理报销手续的，或确定还款日前无法履行完报销手续的，可由持卡人或其所在部门相关人员向财务审计处提供持卡人姓名、卡号、消费时间和每笔消费金额的明细书面信息，并填写《借款单》，经请示校领导审批同意，将报销金额转入公务卡，待持卡人回学校后或签字审批流程结束后及时办理报销手续和还款手续。</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第十五条 </w:t>
      </w:r>
      <w:r>
        <w:rPr>
          <w:rFonts w:hint="eastAsia" w:ascii="宋体" w:hAnsi="宋体" w:cs="宋体"/>
          <w:color w:val="000000"/>
          <w:kern w:val="0"/>
          <w:sz w:val="28"/>
          <w:szCs w:val="28"/>
          <w:u w:val="single"/>
        </w:rPr>
        <w:t xml:space="preserve"> </w:t>
      </w:r>
      <w:r>
        <w:rPr>
          <w:rFonts w:hint="eastAsia" w:ascii="方正仿宋_GB2312" w:hAnsi="方正仿宋_GB2312" w:eastAsia="方正仿宋_GB2312" w:cs="方正仿宋_GB2312"/>
          <w:color w:val="2B2B2B"/>
          <w:kern w:val="0"/>
          <w:sz w:val="32"/>
          <w:szCs w:val="32"/>
          <w:lang w:val="en-US" w:eastAsia="zh-CN" w:bidi="ar-SA"/>
        </w:rPr>
        <w:t>财务审计处在办理公务卡结算报销手续时，必须通过国库集中支付系统提取相应的公务卡消费信息，经核实并符合相关规定后，才能将报销款项划入公务卡账户。</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第十六条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实行公务卡结算方式后，原则上不再向教职工个人办理公务用现金借款。</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第十七条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公务卡消费结算及公务卡遗失、被盗等发生的纠纷及经济事项，由持卡人直接与发卡银行按双方签订的合约或服务协议中的相关规定处理。</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第十八条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持卡人使用公务卡同时进行公务和个人消费时，必须将公务消费与个人消费区分开，应分别刷卡支付，并分别打印交易消费凭条和报销发票，财务审计处只对公务消费部分进行报销结算。财务审计处按照现行的财务管理制度对公务卡公务消费行为进行合法、合规性审核，对符合报销条件的予以报销，对不符合报销条件的，有权全部或部分不予报销，对不予报销的部分，由持卡人自行偿还。</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第十九条  </w:t>
      </w:r>
      <w:r>
        <w:rPr>
          <w:rFonts w:hint="eastAsia" w:ascii="方正仿宋_GB2312" w:hAnsi="方正仿宋_GB2312" w:eastAsia="方正仿宋_GB2312" w:cs="方正仿宋_GB2312"/>
          <w:color w:val="2B2B2B"/>
          <w:kern w:val="0"/>
          <w:sz w:val="32"/>
          <w:szCs w:val="32"/>
          <w:lang w:val="en-US" w:eastAsia="zh-CN" w:bidi="ar-SA"/>
        </w:rPr>
        <w:t>因退货等原因导致已报销资金退回持卡人公务卡的，持卡人应及时向财务审计处提出，办理审核手续，将资金返回学校。</w:t>
      </w:r>
    </w:p>
    <w:p>
      <w:pPr>
        <w:widowControl/>
        <w:shd w:val="clear" w:color="auto" w:fill="FFFFFF"/>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公务卡的日常管理</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 根据《山东省省级预算单位实施公务卡制度监督管理暂行办法》（鲁财库【2013】18号）和省财政厅关于加快公务卡制度改革的要求，财务审计处要在全校范围内积极推进公务卡结算方式，制定和完善学校实施公务卡强制消费目录制度的财务管理办法，加强对持卡人的宣传、培训；要做好本校在职人员公务卡的日常管理、报销与清算管理和资金管理，遇到人员变动时应及时通知发卡行。严禁为非我校在职工作人员办理公务卡、违规办理公务卡报销业务，严禁违规查询或泄露公务卡持卡人的私人交易信息。</w:t>
      </w:r>
    </w:p>
    <w:p>
      <w:pPr>
        <w:widowControl/>
        <w:shd w:val="clear" w:color="auto" w:fill="FFFFFF"/>
        <w:ind w:firstLine="555"/>
        <w:jc w:val="left"/>
        <w:rPr>
          <w:rFonts w:hint="eastAsia" w:ascii="宋体" w:hAnsi="宋体" w:cs="宋体"/>
          <w:color w:val="000000"/>
          <w:kern w:val="0"/>
          <w:sz w:val="28"/>
          <w:szCs w:val="28"/>
        </w:rPr>
      </w:pPr>
      <w:r>
        <w:rPr>
          <w:rFonts w:hint="eastAsia" w:ascii="方正楷体_GB2312" w:hAnsi="方正楷体_GB2312" w:eastAsia="方正楷体_GB2312" w:cs="方正楷体_GB2312"/>
          <w:color w:val="2B2B2B"/>
          <w:kern w:val="0"/>
          <w:sz w:val="32"/>
          <w:szCs w:val="32"/>
          <w:lang w:val="en-US" w:eastAsia="zh-CN" w:bidi="ar-SA"/>
        </w:rPr>
        <w:t>第二十一条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持卡人应遵守国家关于银行卡使用管理的法律法规和本办法有关规定，规范使用公务卡，接收上级财政部门和财务审计处对公务支出的监控管理。严禁持卡人违规使用公务卡、恶意透支、拖欠还款、利用公务卡套取现金或将非公务支出用于公务报销。</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第二十二条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各部门负责人要严格执行财经纪律，对本部门公务卡持卡人的公务消费行为进行管理和审核，严格控制支出，杜绝超范围、超标准支出，确保公务消费支出控制在规定范围之内。</w:t>
      </w:r>
    </w:p>
    <w:p>
      <w:pPr>
        <w:widowControl/>
        <w:shd w:val="clear" w:color="auto" w:fill="FFFFFF"/>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  附则</w:t>
      </w:r>
    </w:p>
    <w:p>
      <w:pPr>
        <w:widowControl/>
        <w:shd w:val="clear" w:color="auto" w:fill="FFFFFF"/>
        <w:ind w:firstLine="555"/>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第二十三条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本办法自2013年11月1日起实施。</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第二十四条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本办法由财务审计处负责解释。</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p>
    <w:p>
      <w:pPr>
        <w:rPr>
          <w:rFonts w:hint="eastAsia" w:ascii="宋体" w:hAnsi="宋体" w:cs="宋体"/>
          <w:color w:val="000000"/>
          <w:kern w:val="0"/>
          <w:sz w:val="27"/>
          <w:szCs w:val="27"/>
        </w:rPr>
      </w:pPr>
    </w:p>
    <w:p>
      <w:pPr>
        <w:rPr>
          <w:rFonts w:hint="eastAsia" w:ascii="宋体" w:hAnsi="宋体" w:cs="宋体"/>
          <w:color w:val="000000"/>
          <w:kern w:val="0"/>
          <w:sz w:val="27"/>
          <w:szCs w:val="27"/>
        </w:rPr>
      </w:pPr>
    </w:p>
    <w:p>
      <w:pPr>
        <w:rPr>
          <w:rFonts w:hint="eastAsia" w:ascii="宋体" w:hAnsi="宋体" w:cs="宋体"/>
          <w:color w:val="000000"/>
          <w:kern w:val="0"/>
          <w:sz w:val="27"/>
          <w:szCs w:val="27"/>
        </w:rPr>
      </w:pP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附件：</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山东省省级预算单位公务卡强制消费目录</w:t>
      </w:r>
    </w:p>
    <w:p>
      <w:pPr>
        <w:jc w:val="center"/>
        <w:rPr>
          <w:rFonts w:hint="eastAsia" w:ascii="宋体" w:hAnsi="宋体"/>
          <w:sz w:val="10"/>
          <w:szCs w:val="10"/>
        </w:rPr>
      </w:pPr>
    </w:p>
    <w:tbl>
      <w:tblPr>
        <w:tblStyle w:val="11"/>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514"/>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5" w:hRule="atLeast"/>
        </w:trPr>
        <w:tc>
          <w:tcPr>
            <w:tcW w:w="834" w:type="dxa"/>
            <w:noWrap w:val="0"/>
            <w:vAlign w:val="center"/>
          </w:tcPr>
          <w:p>
            <w:pPr>
              <w:rPr>
                <w:rFonts w:hint="eastAsia" w:ascii="宋体" w:hAnsi="宋体"/>
                <w:b/>
                <w:sz w:val="24"/>
              </w:rPr>
            </w:pPr>
            <w:r>
              <w:rPr>
                <w:rFonts w:hint="eastAsia" w:ascii="宋体" w:hAnsi="宋体"/>
                <w:b/>
                <w:sz w:val="24"/>
              </w:rPr>
              <w:t>序号</w:t>
            </w:r>
          </w:p>
        </w:tc>
        <w:tc>
          <w:tcPr>
            <w:tcW w:w="2514" w:type="dxa"/>
            <w:noWrap w:val="0"/>
            <w:vAlign w:val="center"/>
          </w:tcPr>
          <w:p>
            <w:pPr>
              <w:rPr>
                <w:rFonts w:hint="eastAsia" w:ascii="宋体" w:hAnsi="宋体"/>
                <w:b/>
                <w:sz w:val="24"/>
              </w:rPr>
            </w:pPr>
            <w:r>
              <w:rPr>
                <w:rFonts w:hint="eastAsia" w:ascii="宋体" w:hAnsi="宋体"/>
                <w:b/>
                <w:sz w:val="24"/>
              </w:rPr>
              <w:t>公务卡强制消费目录</w:t>
            </w:r>
          </w:p>
        </w:tc>
        <w:tc>
          <w:tcPr>
            <w:tcW w:w="5235" w:type="dxa"/>
            <w:noWrap w:val="0"/>
            <w:vAlign w:val="center"/>
          </w:tcPr>
          <w:p>
            <w:pPr>
              <w:jc w:val="center"/>
              <w:rPr>
                <w:rFonts w:hint="eastAsia"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10" w:hRule="atLeast"/>
        </w:trPr>
        <w:tc>
          <w:tcPr>
            <w:tcW w:w="834" w:type="dxa"/>
            <w:noWrap w:val="0"/>
            <w:vAlign w:val="center"/>
          </w:tcPr>
          <w:p>
            <w:pPr>
              <w:rPr>
                <w:rFonts w:hint="eastAsia" w:ascii="宋体" w:hAnsi="宋体"/>
                <w:sz w:val="24"/>
              </w:rPr>
            </w:pPr>
            <w:r>
              <w:rPr>
                <w:rFonts w:hint="eastAsia" w:ascii="宋体" w:hAnsi="宋体"/>
                <w:sz w:val="24"/>
              </w:rPr>
              <w:t>1</w:t>
            </w:r>
          </w:p>
        </w:tc>
        <w:tc>
          <w:tcPr>
            <w:tcW w:w="2514" w:type="dxa"/>
            <w:noWrap w:val="0"/>
            <w:vAlign w:val="center"/>
          </w:tcPr>
          <w:p>
            <w:pPr>
              <w:rPr>
                <w:rFonts w:hint="eastAsia" w:ascii="宋体" w:hAnsi="宋体"/>
                <w:sz w:val="24"/>
              </w:rPr>
            </w:pPr>
            <w:r>
              <w:rPr>
                <w:rFonts w:hint="eastAsia" w:ascii="宋体" w:hAnsi="宋体"/>
                <w:sz w:val="24"/>
              </w:rPr>
              <w:t>办公费</w:t>
            </w:r>
          </w:p>
        </w:tc>
        <w:tc>
          <w:tcPr>
            <w:tcW w:w="5235" w:type="dxa"/>
            <w:noWrap w:val="0"/>
            <w:vAlign w:val="center"/>
          </w:tcPr>
          <w:p>
            <w:pPr>
              <w:rPr>
                <w:rFonts w:hint="eastAsia" w:ascii="宋体" w:hAnsi="宋体"/>
                <w:sz w:val="24"/>
              </w:rPr>
            </w:pPr>
            <w:r>
              <w:rPr>
                <w:rFonts w:hint="eastAsia" w:ascii="宋体" w:hAnsi="宋体"/>
                <w:sz w:val="24"/>
              </w:rPr>
              <w:t>指单位购买按财务规定不符合固定资产确认标准的日常办公用品支出、书报杂志等支出。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trPr>
        <w:tc>
          <w:tcPr>
            <w:tcW w:w="834" w:type="dxa"/>
            <w:noWrap w:val="0"/>
            <w:vAlign w:val="center"/>
          </w:tcPr>
          <w:p>
            <w:pPr>
              <w:rPr>
                <w:rFonts w:hint="eastAsia" w:ascii="宋体" w:hAnsi="宋体"/>
                <w:sz w:val="24"/>
              </w:rPr>
            </w:pPr>
            <w:r>
              <w:rPr>
                <w:rFonts w:hint="eastAsia" w:ascii="宋体" w:hAnsi="宋体"/>
                <w:sz w:val="24"/>
              </w:rPr>
              <w:t>2</w:t>
            </w:r>
          </w:p>
        </w:tc>
        <w:tc>
          <w:tcPr>
            <w:tcW w:w="2514" w:type="dxa"/>
            <w:noWrap w:val="0"/>
            <w:vAlign w:val="center"/>
          </w:tcPr>
          <w:p>
            <w:pPr>
              <w:rPr>
                <w:rFonts w:hint="eastAsia" w:ascii="宋体" w:hAnsi="宋体"/>
                <w:sz w:val="24"/>
              </w:rPr>
            </w:pPr>
            <w:r>
              <w:rPr>
                <w:rFonts w:hint="eastAsia" w:ascii="宋体" w:hAnsi="宋体"/>
                <w:sz w:val="24"/>
              </w:rPr>
              <w:t>差旅费</w:t>
            </w:r>
          </w:p>
        </w:tc>
        <w:tc>
          <w:tcPr>
            <w:tcW w:w="5235" w:type="dxa"/>
            <w:noWrap w:val="0"/>
            <w:vAlign w:val="center"/>
          </w:tcPr>
          <w:p>
            <w:pPr>
              <w:rPr>
                <w:rFonts w:hint="eastAsia" w:ascii="宋体" w:hAnsi="宋体"/>
                <w:sz w:val="24"/>
              </w:rPr>
            </w:pPr>
            <w:r>
              <w:rPr>
                <w:rFonts w:hint="eastAsia" w:ascii="宋体" w:hAnsi="宋体"/>
                <w:sz w:val="24"/>
              </w:rPr>
              <w:t>指单位工作人员出差支付的住宿费、会务费、购买机票支出等。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trPr>
        <w:tc>
          <w:tcPr>
            <w:tcW w:w="834" w:type="dxa"/>
            <w:noWrap w:val="0"/>
            <w:vAlign w:val="center"/>
          </w:tcPr>
          <w:p>
            <w:pPr>
              <w:rPr>
                <w:rFonts w:hint="eastAsia" w:ascii="宋体" w:hAnsi="宋体"/>
                <w:sz w:val="24"/>
              </w:rPr>
            </w:pPr>
            <w:r>
              <w:rPr>
                <w:rFonts w:hint="eastAsia" w:ascii="宋体" w:hAnsi="宋体"/>
                <w:sz w:val="24"/>
              </w:rPr>
              <w:t>3</w:t>
            </w:r>
          </w:p>
        </w:tc>
        <w:tc>
          <w:tcPr>
            <w:tcW w:w="2514" w:type="dxa"/>
            <w:noWrap w:val="0"/>
            <w:vAlign w:val="center"/>
          </w:tcPr>
          <w:p>
            <w:pPr>
              <w:rPr>
                <w:rFonts w:hint="eastAsia" w:ascii="宋体" w:hAnsi="宋体"/>
                <w:sz w:val="24"/>
              </w:rPr>
            </w:pPr>
            <w:r>
              <w:rPr>
                <w:rFonts w:hint="eastAsia" w:ascii="宋体" w:hAnsi="宋体"/>
                <w:sz w:val="24"/>
              </w:rPr>
              <w:t>维修（护）费</w:t>
            </w:r>
          </w:p>
        </w:tc>
        <w:tc>
          <w:tcPr>
            <w:tcW w:w="5235" w:type="dxa"/>
            <w:noWrap w:val="0"/>
            <w:vAlign w:val="center"/>
          </w:tcPr>
          <w:p>
            <w:pPr>
              <w:rPr>
                <w:rFonts w:hint="eastAsia" w:ascii="宋体" w:hAnsi="宋体"/>
                <w:sz w:val="24"/>
              </w:rPr>
            </w:pPr>
            <w:r>
              <w:rPr>
                <w:rFonts w:hint="eastAsia" w:ascii="宋体" w:hAnsi="宋体"/>
                <w:sz w:val="24"/>
              </w:rPr>
              <w:t>指单位日常开支的固定资产修理和维护（不包括车船等交通工具）费用，网络信息系统运行与维护费用。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trPr>
        <w:tc>
          <w:tcPr>
            <w:tcW w:w="834" w:type="dxa"/>
            <w:noWrap w:val="0"/>
            <w:vAlign w:val="center"/>
          </w:tcPr>
          <w:p>
            <w:pPr>
              <w:rPr>
                <w:rFonts w:hint="eastAsia" w:ascii="宋体" w:hAnsi="宋体"/>
                <w:sz w:val="24"/>
              </w:rPr>
            </w:pPr>
            <w:r>
              <w:rPr>
                <w:rFonts w:hint="eastAsia" w:ascii="宋体" w:hAnsi="宋体"/>
                <w:sz w:val="24"/>
              </w:rPr>
              <w:t>4</w:t>
            </w:r>
          </w:p>
        </w:tc>
        <w:tc>
          <w:tcPr>
            <w:tcW w:w="2514" w:type="dxa"/>
            <w:noWrap w:val="0"/>
            <w:vAlign w:val="center"/>
          </w:tcPr>
          <w:p>
            <w:pPr>
              <w:rPr>
                <w:rFonts w:hint="eastAsia" w:ascii="宋体" w:hAnsi="宋体"/>
                <w:sz w:val="24"/>
              </w:rPr>
            </w:pPr>
            <w:r>
              <w:rPr>
                <w:rFonts w:hint="eastAsia" w:ascii="宋体" w:hAnsi="宋体"/>
                <w:sz w:val="24"/>
              </w:rPr>
              <w:t>会议费</w:t>
            </w:r>
          </w:p>
        </w:tc>
        <w:tc>
          <w:tcPr>
            <w:tcW w:w="5235" w:type="dxa"/>
            <w:noWrap w:val="0"/>
            <w:vAlign w:val="center"/>
          </w:tcPr>
          <w:p>
            <w:pPr>
              <w:rPr>
                <w:rFonts w:hint="eastAsia" w:ascii="宋体" w:hAnsi="宋体"/>
                <w:sz w:val="24"/>
              </w:rPr>
            </w:pPr>
            <w:r>
              <w:rPr>
                <w:rFonts w:hint="eastAsia" w:ascii="宋体" w:hAnsi="宋体"/>
                <w:sz w:val="24"/>
              </w:rPr>
              <w:t>指会议中按规定开支的房租费、伙食补助费以及文件资料的印刷费、会议场地租用费等。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1" w:hRule="atLeast"/>
        </w:trPr>
        <w:tc>
          <w:tcPr>
            <w:tcW w:w="834" w:type="dxa"/>
            <w:noWrap w:val="0"/>
            <w:vAlign w:val="center"/>
          </w:tcPr>
          <w:p>
            <w:pPr>
              <w:rPr>
                <w:rFonts w:hint="eastAsia" w:ascii="宋体" w:hAnsi="宋体"/>
                <w:sz w:val="24"/>
              </w:rPr>
            </w:pPr>
            <w:r>
              <w:rPr>
                <w:rFonts w:hint="eastAsia" w:ascii="宋体" w:hAnsi="宋体"/>
                <w:sz w:val="24"/>
              </w:rPr>
              <w:t>5</w:t>
            </w:r>
          </w:p>
        </w:tc>
        <w:tc>
          <w:tcPr>
            <w:tcW w:w="2514" w:type="dxa"/>
            <w:noWrap w:val="0"/>
            <w:vAlign w:val="center"/>
          </w:tcPr>
          <w:p>
            <w:pPr>
              <w:rPr>
                <w:rFonts w:hint="eastAsia" w:ascii="宋体" w:hAnsi="宋体"/>
                <w:sz w:val="24"/>
              </w:rPr>
            </w:pPr>
            <w:r>
              <w:rPr>
                <w:rFonts w:hint="eastAsia" w:ascii="宋体" w:hAnsi="宋体"/>
                <w:sz w:val="24"/>
              </w:rPr>
              <w:t>培训费</w:t>
            </w:r>
          </w:p>
        </w:tc>
        <w:tc>
          <w:tcPr>
            <w:tcW w:w="5235" w:type="dxa"/>
            <w:noWrap w:val="0"/>
            <w:vAlign w:val="center"/>
          </w:tcPr>
          <w:p>
            <w:pPr>
              <w:rPr>
                <w:rFonts w:hint="eastAsia" w:ascii="宋体" w:hAnsi="宋体"/>
                <w:sz w:val="24"/>
              </w:rPr>
            </w:pPr>
            <w:r>
              <w:rPr>
                <w:rFonts w:hint="eastAsia" w:ascii="宋体" w:hAnsi="宋体"/>
                <w:sz w:val="24"/>
              </w:rPr>
              <w:t>指各类培训支出，如培训费、进修费等。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27" w:hRule="atLeast"/>
        </w:trPr>
        <w:tc>
          <w:tcPr>
            <w:tcW w:w="834" w:type="dxa"/>
            <w:noWrap w:val="0"/>
            <w:vAlign w:val="center"/>
          </w:tcPr>
          <w:p>
            <w:pPr>
              <w:rPr>
                <w:rFonts w:hint="eastAsia" w:ascii="宋体" w:hAnsi="宋体"/>
                <w:sz w:val="24"/>
              </w:rPr>
            </w:pPr>
            <w:r>
              <w:rPr>
                <w:rFonts w:hint="eastAsia" w:ascii="宋体" w:hAnsi="宋体"/>
                <w:sz w:val="24"/>
              </w:rPr>
              <w:t>6</w:t>
            </w:r>
          </w:p>
        </w:tc>
        <w:tc>
          <w:tcPr>
            <w:tcW w:w="2514" w:type="dxa"/>
            <w:noWrap w:val="0"/>
            <w:vAlign w:val="center"/>
          </w:tcPr>
          <w:p>
            <w:pPr>
              <w:rPr>
                <w:rFonts w:hint="eastAsia" w:ascii="宋体" w:hAnsi="宋体"/>
                <w:sz w:val="24"/>
              </w:rPr>
            </w:pPr>
            <w:r>
              <w:rPr>
                <w:rFonts w:hint="eastAsia" w:ascii="宋体" w:hAnsi="宋体"/>
                <w:sz w:val="24"/>
              </w:rPr>
              <w:t>专用材料费</w:t>
            </w:r>
          </w:p>
        </w:tc>
        <w:tc>
          <w:tcPr>
            <w:tcW w:w="5235" w:type="dxa"/>
            <w:noWrap w:val="0"/>
            <w:vAlign w:val="center"/>
          </w:tcPr>
          <w:p>
            <w:pPr>
              <w:rPr>
                <w:rFonts w:hint="eastAsia" w:ascii="宋体" w:hAnsi="宋体"/>
                <w:sz w:val="24"/>
              </w:rPr>
            </w:pPr>
            <w:r>
              <w:rPr>
                <w:rFonts w:hint="eastAsia" w:ascii="宋体" w:hAnsi="宋体"/>
                <w:sz w:val="24"/>
              </w:rPr>
              <w:t>指单位购买日常专用材料的支出。具体包括药品及医疗耗材，农用材料，计算机耗材，实验室用品专用服装，消耗性体育用品，专用工具和仪器，艺术部门专用材料和用品等方面的支出。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0" w:hRule="atLeast"/>
        </w:trPr>
        <w:tc>
          <w:tcPr>
            <w:tcW w:w="834" w:type="dxa"/>
            <w:noWrap w:val="0"/>
            <w:vAlign w:val="center"/>
          </w:tcPr>
          <w:p>
            <w:pPr>
              <w:rPr>
                <w:rFonts w:hint="eastAsia" w:ascii="宋体" w:hAnsi="宋体"/>
                <w:sz w:val="24"/>
              </w:rPr>
            </w:pPr>
            <w:r>
              <w:rPr>
                <w:rFonts w:hint="eastAsia" w:ascii="宋体" w:hAnsi="宋体"/>
                <w:sz w:val="24"/>
              </w:rPr>
              <w:t>7</w:t>
            </w:r>
          </w:p>
        </w:tc>
        <w:tc>
          <w:tcPr>
            <w:tcW w:w="2514" w:type="dxa"/>
            <w:noWrap w:val="0"/>
            <w:vAlign w:val="center"/>
          </w:tcPr>
          <w:p>
            <w:pPr>
              <w:rPr>
                <w:rFonts w:hint="eastAsia" w:ascii="宋体" w:hAnsi="宋体"/>
                <w:sz w:val="24"/>
              </w:rPr>
            </w:pPr>
            <w:r>
              <w:rPr>
                <w:rFonts w:hint="eastAsia" w:ascii="宋体" w:hAnsi="宋体"/>
                <w:sz w:val="24"/>
              </w:rPr>
              <w:t>公务用车运行维护费</w:t>
            </w:r>
          </w:p>
        </w:tc>
        <w:tc>
          <w:tcPr>
            <w:tcW w:w="5235" w:type="dxa"/>
            <w:noWrap w:val="0"/>
            <w:vAlign w:val="center"/>
          </w:tcPr>
          <w:p>
            <w:pPr>
              <w:rPr>
                <w:rFonts w:hint="eastAsia" w:ascii="宋体" w:hAnsi="宋体"/>
                <w:sz w:val="24"/>
              </w:rPr>
            </w:pPr>
            <w:r>
              <w:rPr>
                <w:rFonts w:hint="eastAsia" w:ascii="宋体" w:hAnsi="宋体"/>
                <w:sz w:val="24"/>
              </w:rPr>
              <w:t>指公务用车的燃料费、维修费、保险费等支出。</w:t>
            </w:r>
          </w:p>
        </w:tc>
      </w:tr>
    </w:tbl>
    <w:p>
      <w:pPr>
        <w:rPr>
          <w:rFonts w:hint="eastAsia" w:ascii="宋体" w:hAnsi="宋体"/>
        </w:rPr>
      </w:pP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Style w:val="13"/>
          <w:rFonts w:hint="eastAsia" w:ascii="方正小标宋简体" w:hAnsi="方正小标宋简体" w:eastAsia="方正小标宋简体" w:cs="方正小标宋简体"/>
          <w:b/>
          <w:bCs/>
          <w:color w:val="2B2B2B"/>
          <w:sz w:val="44"/>
          <w:szCs w:val="44"/>
        </w:rPr>
        <w:t>关于印发《山东旅游职业学院工作人员</w:t>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Style w:val="13"/>
          <w:rFonts w:hint="eastAsia" w:ascii="方正小标宋简体" w:hAnsi="方正小标宋简体" w:eastAsia="方正小标宋简体" w:cs="方正小标宋简体"/>
          <w:b/>
          <w:bCs/>
          <w:color w:val="2B2B2B"/>
          <w:sz w:val="44"/>
          <w:szCs w:val="44"/>
        </w:rPr>
        <w:t>差旅住宿费标准明细表》的通知</w:t>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各处（室）、系、部、中心：</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根据《山东省省直机关工作人员差旅住宿费标准明细表》（鲁财行〔2016〕27号）文件要求，学院编制了《山东旅游职业学院工作人员差旅住宿费标准明细表》，现予以印发，自发文之日起执行。该明细标准已同时发布到学院网站，各部门可自行下载。</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附件：山东旅游职业学院工作人员差旅住宿费标准明细表</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p>
    <w:p>
      <w:pPr>
        <w:spacing w:line="360" w:lineRule="auto"/>
        <w:rPr>
          <w:rFonts w:hint="eastAsia" w:ascii="宋体" w:hAnsi="宋体" w:cs="宋体"/>
          <w:color w:val="333333"/>
          <w:kern w:val="0"/>
          <w:sz w:val="32"/>
          <w:szCs w:val="32"/>
        </w:rPr>
      </w:pPr>
    </w:p>
    <w:p>
      <w:pPr>
        <w:spacing w:line="360" w:lineRule="auto"/>
        <w:rPr>
          <w:rFonts w:hint="eastAsia" w:ascii="宋体" w:hAnsi="宋体" w:cs="宋体"/>
          <w:color w:val="333333"/>
          <w:kern w:val="0"/>
          <w:sz w:val="32"/>
          <w:szCs w:val="32"/>
        </w:rPr>
      </w:pPr>
    </w:p>
    <w:p>
      <w:pPr>
        <w:spacing w:line="360" w:lineRule="auto"/>
        <w:rPr>
          <w:rFonts w:hint="eastAsia" w:ascii="宋体" w:hAnsi="宋体" w:cs="宋体"/>
          <w:color w:val="333333"/>
          <w:kern w:val="0"/>
          <w:sz w:val="32"/>
          <w:szCs w:val="32"/>
        </w:rPr>
      </w:pPr>
    </w:p>
    <w:p>
      <w:pPr>
        <w:spacing w:line="360" w:lineRule="auto"/>
        <w:rPr>
          <w:rFonts w:hint="eastAsia" w:ascii="宋体" w:hAnsi="宋体" w:cs="宋体"/>
          <w:color w:val="333333"/>
          <w:kern w:val="0"/>
          <w:sz w:val="32"/>
          <w:szCs w:val="32"/>
        </w:rPr>
      </w:pPr>
    </w:p>
    <w:p>
      <w:pPr>
        <w:spacing w:line="360" w:lineRule="auto"/>
        <w:rPr>
          <w:rFonts w:hint="eastAsia" w:ascii="宋体" w:hAnsi="宋体" w:cs="宋体"/>
          <w:color w:val="333333"/>
          <w:kern w:val="0"/>
          <w:sz w:val="32"/>
          <w:szCs w:val="32"/>
        </w:rPr>
      </w:pP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山东旅游职业学院</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2016年6月1日</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p>
    <w:p>
      <w:pPr>
        <w:spacing w:line="360" w:lineRule="auto"/>
        <w:rPr>
          <w:rFonts w:hint="eastAsia" w:ascii="宋体" w:hAnsi="宋体" w:cs="宋体"/>
          <w:color w:val="333333"/>
          <w:kern w:val="0"/>
          <w:sz w:val="32"/>
          <w:szCs w:val="32"/>
        </w:rPr>
      </w:pPr>
    </w:p>
    <w:p>
      <w:pPr>
        <w:adjustRightInd w:val="0"/>
        <w:snapToGrid w:val="0"/>
        <w:spacing w:before="150" w:line="360" w:lineRule="auto"/>
        <w:ind w:firstLine="5017" w:firstLineChars="1568"/>
        <w:rPr>
          <w:rFonts w:hint="eastAsia" w:ascii="宋体" w:hAnsi="宋体"/>
          <w:sz w:val="32"/>
          <w:szCs w:val="32"/>
        </w:rPr>
      </w:pP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附件：</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山东旅游职业学院工作人员差旅住宿费标准明细表</w:t>
      </w:r>
    </w:p>
    <w:tbl>
      <w:tblPr>
        <w:tblStyle w:val="10"/>
        <w:tblW w:w="8560" w:type="dxa"/>
        <w:tblInd w:w="93" w:type="dxa"/>
        <w:tblLayout w:type="autofit"/>
        <w:tblCellMar>
          <w:top w:w="0" w:type="dxa"/>
          <w:left w:w="108" w:type="dxa"/>
          <w:bottom w:w="0" w:type="dxa"/>
          <w:right w:w="108" w:type="dxa"/>
        </w:tblCellMar>
      </w:tblPr>
      <w:tblGrid>
        <w:gridCol w:w="723"/>
        <w:gridCol w:w="2172"/>
        <w:gridCol w:w="784"/>
        <w:gridCol w:w="549"/>
        <w:gridCol w:w="560"/>
        <w:gridCol w:w="1080"/>
        <w:gridCol w:w="1000"/>
        <w:gridCol w:w="616"/>
        <w:gridCol w:w="516"/>
        <w:gridCol w:w="560"/>
      </w:tblGrid>
      <w:tr>
        <w:tblPrEx>
          <w:tblCellMar>
            <w:top w:w="0" w:type="dxa"/>
            <w:left w:w="108" w:type="dxa"/>
            <w:bottom w:w="0" w:type="dxa"/>
            <w:right w:w="108" w:type="dxa"/>
          </w:tblCellMar>
        </w:tblPrEx>
        <w:trPr>
          <w:wBefore w:w="0" w:type="dxa"/>
          <w:wAfter w:w="0" w:type="dxa"/>
          <w:trHeight w:val="285" w:hRule="atLeast"/>
        </w:trPr>
        <w:tc>
          <w:tcPr>
            <w:tcW w:w="723" w:type="dxa"/>
            <w:tcBorders>
              <w:top w:val="nil"/>
              <w:left w:val="nil"/>
              <w:bottom w:val="nil"/>
              <w:right w:val="nil"/>
            </w:tcBorders>
            <w:shd w:val="clear" w:color="auto" w:fill="FFFFFF"/>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72" w:type="dxa"/>
            <w:tcBorders>
              <w:top w:val="nil"/>
              <w:left w:val="nil"/>
              <w:bottom w:val="single" w:color="auto" w:sz="8" w:space="0"/>
              <w:right w:val="nil"/>
            </w:tcBorders>
            <w:shd w:val="clear" w:color="auto" w:fill="FFFFFF"/>
            <w:noWrap w:val="0"/>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665" w:type="dxa"/>
            <w:gridSpan w:val="8"/>
            <w:tcBorders>
              <w:top w:val="nil"/>
              <w:left w:val="nil"/>
              <w:bottom w:val="single" w:color="000000" w:sz="8" w:space="0"/>
              <w:right w:val="nil"/>
            </w:tcBorders>
            <w:shd w:val="clear" w:color="auto" w:fill="FFFFFF"/>
            <w:noWrap w:val="0"/>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单位:元/人·天</w:t>
            </w:r>
          </w:p>
        </w:tc>
      </w:tr>
      <w:tr>
        <w:tblPrEx>
          <w:tblCellMar>
            <w:top w:w="0" w:type="dxa"/>
            <w:left w:w="108" w:type="dxa"/>
            <w:bottom w:w="0" w:type="dxa"/>
            <w:right w:w="108" w:type="dxa"/>
          </w:tblCellMar>
        </w:tblPrEx>
        <w:trPr>
          <w:wBefore w:w="0" w:type="dxa"/>
          <w:wAfter w:w="0" w:type="dxa"/>
          <w:trHeight w:val="270" w:hRule="atLeast"/>
        </w:trPr>
        <w:tc>
          <w:tcPr>
            <w:tcW w:w="2895" w:type="dxa"/>
            <w:gridSpan w:val="2"/>
            <w:vMerge w:val="restart"/>
            <w:tcBorders>
              <w:top w:val="single" w:color="auto" w:sz="8" w:space="0"/>
              <w:left w:val="single" w:color="auto"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地区</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(城市)</w:t>
            </w:r>
          </w:p>
        </w:tc>
        <w:tc>
          <w:tcPr>
            <w:tcW w:w="1893" w:type="dxa"/>
            <w:gridSpan w:val="3"/>
            <w:vMerge w:val="restart"/>
            <w:tcBorders>
              <w:top w:val="single" w:color="auto" w:sz="8" w:space="0"/>
              <w:left w:val="single" w:color="auto" w:sz="8" w:space="0"/>
              <w:bottom w:val="single" w:color="auto" w:sz="4" w:space="0"/>
              <w:right w:val="single" w:color="000000"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住宿费标准</w:t>
            </w:r>
          </w:p>
        </w:tc>
        <w:tc>
          <w:tcPr>
            <w:tcW w:w="1080" w:type="dxa"/>
            <w:vMerge w:val="restart"/>
            <w:tcBorders>
              <w:top w:val="nil"/>
              <w:left w:val="nil"/>
              <w:bottom w:val="single" w:color="000000" w:sz="8" w:space="0"/>
              <w:right w:val="nil"/>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旺季地区</w:t>
            </w:r>
          </w:p>
        </w:tc>
        <w:tc>
          <w:tcPr>
            <w:tcW w:w="2692" w:type="dxa"/>
            <w:gridSpan w:val="4"/>
            <w:tcBorders>
              <w:top w:val="single" w:color="auto" w:sz="8" w:space="0"/>
              <w:left w:val="single" w:color="auto" w:sz="4" w:space="0"/>
              <w:bottom w:val="single" w:color="auto" w:sz="4" w:space="0"/>
              <w:right w:val="single" w:color="000000"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旺季浮动标准</w:t>
            </w:r>
          </w:p>
        </w:tc>
      </w:tr>
      <w:tr>
        <w:tblPrEx>
          <w:tblCellMar>
            <w:top w:w="0" w:type="dxa"/>
            <w:left w:w="108" w:type="dxa"/>
            <w:bottom w:w="0" w:type="dxa"/>
            <w:right w:w="108" w:type="dxa"/>
          </w:tblCellMar>
        </w:tblPrEx>
        <w:trPr>
          <w:wBefore w:w="0" w:type="dxa"/>
          <w:wAfter w:w="0" w:type="dxa"/>
          <w:trHeight w:val="270" w:hRule="atLeast"/>
        </w:trPr>
        <w:tc>
          <w:tcPr>
            <w:tcW w:w="2895" w:type="dxa"/>
            <w:gridSpan w:val="2"/>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widowControl/>
              <w:jc w:val="left"/>
              <w:rPr>
                <w:rFonts w:ascii="宋体" w:hAnsi="宋体" w:cs="宋体"/>
                <w:color w:val="000000"/>
                <w:kern w:val="0"/>
                <w:sz w:val="20"/>
                <w:szCs w:val="20"/>
              </w:rPr>
            </w:pPr>
          </w:p>
        </w:tc>
        <w:tc>
          <w:tcPr>
            <w:tcW w:w="1893" w:type="dxa"/>
            <w:gridSpan w:val="3"/>
            <w:vMerge w:val="continue"/>
            <w:tcBorders>
              <w:top w:val="single" w:color="auto" w:sz="8" w:space="0"/>
              <w:left w:val="single" w:color="auto" w:sz="8" w:space="0"/>
              <w:bottom w:val="single" w:color="auto" w:sz="4" w:space="0"/>
              <w:right w:val="single" w:color="000000" w:sz="8" w:space="0"/>
            </w:tcBorders>
            <w:shd w:val="clear" w:color="auto" w:fill="auto"/>
            <w:noWrap w:val="0"/>
            <w:vAlign w:val="center"/>
          </w:tcPr>
          <w:p>
            <w:pPr>
              <w:widowControl/>
              <w:jc w:val="left"/>
              <w:rPr>
                <w:rFonts w:ascii="宋体" w:hAnsi="宋体" w:cs="宋体"/>
                <w:color w:val="000000"/>
                <w:kern w:val="0"/>
                <w:sz w:val="20"/>
                <w:szCs w:val="20"/>
              </w:rPr>
            </w:pPr>
          </w:p>
        </w:tc>
        <w:tc>
          <w:tcPr>
            <w:tcW w:w="1080" w:type="dxa"/>
            <w:vMerge w:val="continue"/>
            <w:tcBorders>
              <w:top w:val="nil"/>
              <w:left w:val="nil"/>
              <w:bottom w:val="single" w:color="000000" w:sz="8" w:space="0"/>
              <w:right w:val="nil"/>
            </w:tcBorders>
            <w:shd w:val="clear" w:color="auto" w:fill="auto"/>
            <w:noWrap w:val="0"/>
            <w:vAlign w:val="center"/>
          </w:tcPr>
          <w:p>
            <w:pPr>
              <w:widowControl/>
              <w:jc w:val="left"/>
              <w:rPr>
                <w:rFonts w:ascii="宋体" w:hAnsi="宋体" w:cs="宋体"/>
                <w:color w:val="000000"/>
                <w:kern w:val="0"/>
                <w:sz w:val="20"/>
                <w:szCs w:val="20"/>
              </w:rPr>
            </w:pPr>
          </w:p>
        </w:tc>
        <w:tc>
          <w:tcPr>
            <w:tcW w:w="1000" w:type="dxa"/>
            <w:vMerge w:val="restart"/>
            <w:tcBorders>
              <w:top w:val="nil"/>
              <w:left w:val="single" w:color="auto" w:sz="4" w:space="0"/>
              <w:bottom w:val="single" w:color="000000" w:sz="8" w:space="0"/>
              <w:right w:val="nil"/>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旺季期间</w:t>
            </w:r>
          </w:p>
        </w:tc>
        <w:tc>
          <w:tcPr>
            <w:tcW w:w="1692" w:type="dxa"/>
            <w:gridSpan w:val="3"/>
            <w:tcBorders>
              <w:top w:val="single" w:color="auto" w:sz="4" w:space="0"/>
              <w:left w:val="single" w:color="auto" w:sz="4" w:space="0"/>
              <w:bottom w:val="single" w:color="auto" w:sz="4" w:space="0"/>
              <w:right w:val="single" w:color="000000"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旺季上浮价</w:t>
            </w:r>
          </w:p>
        </w:tc>
      </w:tr>
      <w:tr>
        <w:tblPrEx>
          <w:tblCellMar>
            <w:top w:w="0" w:type="dxa"/>
            <w:left w:w="108" w:type="dxa"/>
            <w:bottom w:w="0" w:type="dxa"/>
            <w:right w:w="108" w:type="dxa"/>
          </w:tblCellMar>
        </w:tblPrEx>
        <w:trPr>
          <w:wBefore w:w="0" w:type="dxa"/>
          <w:wAfter w:w="0" w:type="dxa"/>
          <w:trHeight w:val="495" w:hRule="atLeast"/>
        </w:trPr>
        <w:tc>
          <w:tcPr>
            <w:tcW w:w="2895" w:type="dxa"/>
            <w:gridSpan w:val="2"/>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widowControl/>
              <w:jc w:val="left"/>
              <w:rPr>
                <w:rFonts w:ascii="宋体" w:hAnsi="宋体" w:cs="宋体"/>
                <w:color w:val="000000"/>
                <w:kern w:val="0"/>
                <w:sz w:val="20"/>
                <w:szCs w:val="20"/>
              </w:rPr>
            </w:pPr>
          </w:p>
        </w:tc>
        <w:tc>
          <w:tcPr>
            <w:tcW w:w="784"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省级</w:t>
            </w:r>
          </w:p>
        </w:tc>
        <w:tc>
          <w:tcPr>
            <w:tcW w:w="549"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厅局级</w:t>
            </w:r>
          </w:p>
        </w:tc>
        <w:tc>
          <w:tcPr>
            <w:tcW w:w="560"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其他</w:t>
            </w:r>
          </w:p>
          <w:p>
            <w:pPr>
              <w:widowControl/>
              <w:jc w:val="center"/>
              <w:rPr>
                <w:rFonts w:ascii="宋体" w:hAnsi="宋体" w:cs="宋体"/>
                <w:kern w:val="0"/>
                <w:sz w:val="20"/>
                <w:szCs w:val="20"/>
              </w:rPr>
            </w:pPr>
            <w:r>
              <w:rPr>
                <w:rFonts w:hint="eastAsia" w:ascii="宋体" w:hAnsi="宋体" w:cs="宋体"/>
                <w:kern w:val="0"/>
                <w:sz w:val="20"/>
                <w:szCs w:val="20"/>
              </w:rPr>
              <w:t>人员</w:t>
            </w:r>
          </w:p>
        </w:tc>
        <w:tc>
          <w:tcPr>
            <w:tcW w:w="1080" w:type="dxa"/>
            <w:vMerge w:val="continue"/>
            <w:tcBorders>
              <w:top w:val="nil"/>
              <w:left w:val="nil"/>
              <w:bottom w:val="single" w:color="000000" w:sz="8" w:space="0"/>
              <w:right w:val="nil"/>
            </w:tcBorders>
            <w:shd w:val="clear" w:color="auto" w:fill="auto"/>
            <w:noWrap w:val="0"/>
            <w:vAlign w:val="center"/>
          </w:tcPr>
          <w:p>
            <w:pPr>
              <w:widowControl/>
              <w:jc w:val="left"/>
              <w:rPr>
                <w:rFonts w:ascii="宋体" w:hAnsi="宋体" w:cs="宋体"/>
                <w:color w:val="000000"/>
                <w:kern w:val="0"/>
                <w:sz w:val="20"/>
                <w:szCs w:val="20"/>
              </w:rPr>
            </w:pPr>
          </w:p>
        </w:tc>
        <w:tc>
          <w:tcPr>
            <w:tcW w:w="1000" w:type="dxa"/>
            <w:vMerge w:val="continue"/>
            <w:tcBorders>
              <w:top w:val="nil"/>
              <w:left w:val="single" w:color="auto" w:sz="4" w:space="0"/>
              <w:bottom w:val="single" w:color="000000" w:sz="8" w:space="0"/>
              <w:right w:val="nil"/>
            </w:tcBorders>
            <w:shd w:val="clear" w:color="auto" w:fill="auto"/>
            <w:noWrap w:val="0"/>
            <w:vAlign w:val="center"/>
          </w:tcPr>
          <w:p>
            <w:pPr>
              <w:widowControl/>
              <w:jc w:val="left"/>
              <w:rPr>
                <w:rFonts w:ascii="宋体" w:hAnsi="宋体" w:cs="宋体"/>
                <w:color w:val="000000"/>
                <w:kern w:val="0"/>
                <w:sz w:val="20"/>
                <w:szCs w:val="20"/>
              </w:rPr>
            </w:pPr>
          </w:p>
        </w:tc>
        <w:tc>
          <w:tcPr>
            <w:tcW w:w="616" w:type="dxa"/>
            <w:tcBorders>
              <w:top w:val="nil"/>
              <w:left w:val="single" w:color="auto" w:sz="4" w:space="0"/>
              <w:bottom w:val="single" w:color="auto" w:sz="8" w:space="0"/>
              <w:right w:val="single" w:color="auto" w:sz="4"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省级</w:t>
            </w:r>
          </w:p>
        </w:tc>
        <w:tc>
          <w:tcPr>
            <w:tcW w:w="516"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厅局级</w:t>
            </w:r>
          </w:p>
        </w:tc>
        <w:tc>
          <w:tcPr>
            <w:tcW w:w="560"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其他</w:t>
            </w:r>
          </w:p>
          <w:p>
            <w:pPr>
              <w:widowControl/>
              <w:jc w:val="center"/>
              <w:rPr>
                <w:rFonts w:ascii="宋体" w:hAnsi="宋体" w:cs="宋体"/>
                <w:kern w:val="0"/>
                <w:sz w:val="20"/>
                <w:szCs w:val="20"/>
              </w:rPr>
            </w:pPr>
            <w:r>
              <w:rPr>
                <w:rFonts w:hint="eastAsia" w:ascii="宋体" w:hAnsi="宋体" w:cs="宋体"/>
                <w:kern w:val="0"/>
                <w:sz w:val="20"/>
                <w:szCs w:val="20"/>
              </w:rPr>
              <w:t>人员</w:t>
            </w:r>
          </w:p>
        </w:tc>
      </w:tr>
      <w:tr>
        <w:tblPrEx>
          <w:tblCellMar>
            <w:top w:w="0" w:type="dxa"/>
            <w:left w:w="108" w:type="dxa"/>
            <w:bottom w:w="0" w:type="dxa"/>
            <w:right w:w="108" w:type="dxa"/>
          </w:tblCellMar>
        </w:tblPrEx>
        <w:trPr>
          <w:wBefore w:w="0" w:type="dxa"/>
          <w:wAfter w:w="0" w:type="dxa"/>
          <w:trHeight w:val="153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省内</w:t>
            </w:r>
          </w:p>
        </w:tc>
        <w:tc>
          <w:tcPr>
            <w:tcW w:w="2172" w:type="dxa"/>
            <w:tcBorders>
              <w:top w:val="single" w:color="auto" w:sz="4" w:space="0"/>
              <w:left w:val="nil"/>
              <w:bottom w:val="single" w:color="auto" w:sz="4" w:space="0"/>
              <w:right w:val="single" w:color="auto" w:sz="8" w:space="0"/>
            </w:tcBorders>
            <w:shd w:val="clear" w:color="auto" w:fill="FFFFFF"/>
            <w:noWrap w:val="0"/>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 济南市、淄博市、枣庄市、东营市、烟台</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 市、潍坊市、济宁市、泰安市、威海市、</w:t>
            </w:r>
          </w:p>
          <w:p>
            <w:pPr>
              <w:widowControl/>
              <w:jc w:val="left"/>
              <w:rPr>
                <w:rFonts w:ascii="宋体" w:hAnsi="宋体" w:cs="宋体"/>
                <w:kern w:val="0"/>
                <w:sz w:val="20"/>
                <w:szCs w:val="20"/>
              </w:rPr>
            </w:pPr>
            <w:r>
              <w:rPr>
                <w:rFonts w:hint="eastAsia" w:ascii="宋体" w:hAnsi="宋体" w:cs="宋体"/>
                <w:kern w:val="0"/>
                <w:sz w:val="20"/>
                <w:szCs w:val="20"/>
              </w:rPr>
              <w:t xml:space="preserve"> 日照市</w:t>
            </w:r>
          </w:p>
        </w:tc>
        <w:tc>
          <w:tcPr>
            <w:tcW w:w="784"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single" w:color="auto" w:sz="4" w:space="0"/>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 烟台市、威海市、</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日照市</w:t>
            </w:r>
          </w:p>
        </w:tc>
        <w:tc>
          <w:tcPr>
            <w:tcW w:w="100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61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51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570</w:t>
            </w:r>
          </w:p>
        </w:tc>
        <w:tc>
          <w:tcPr>
            <w:tcW w:w="560" w:type="dxa"/>
            <w:tcBorders>
              <w:top w:val="single" w:color="auto" w:sz="4" w:space="0"/>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青岛市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r>
      <w:tr>
        <w:tblPrEx>
          <w:tblCellMar>
            <w:top w:w="0" w:type="dxa"/>
            <w:left w:w="108" w:type="dxa"/>
            <w:bottom w:w="0" w:type="dxa"/>
            <w:right w:w="108" w:type="dxa"/>
          </w:tblCellMar>
        </w:tblPrEx>
        <w:trPr>
          <w:wBefore w:w="0" w:type="dxa"/>
          <w:wAfter w:w="0" w:type="dxa"/>
          <w:trHeight w:val="72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莱芜市、临沂市、德州市、聊城市、滨州</w:t>
            </w:r>
          </w:p>
          <w:p>
            <w:pPr>
              <w:widowControl/>
              <w:jc w:val="left"/>
              <w:rPr>
                <w:rFonts w:ascii="宋体" w:hAnsi="宋体" w:cs="宋体"/>
                <w:kern w:val="0"/>
                <w:sz w:val="20"/>
                <w:szCs w:val="20"/>
              </w:rPr>
            </w:pPr>
            <w:r>
              <w:rPr>
                <w:rFonts w:hint="eastAsia" w:ascii="宋体" w:hAnsi="宋体" w:cs="宋体"/>
                <w:kern w:val="0"/>
                <w:sz w:val="20"/>
                <w:szCs w:val="20"/>
              </w:rPr>
              <w:t xml:space="preserve">市、菏泽市 </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tcBorders>
              <w:top w:val="nil"/>
              <w:left w:val="single" w:color="auto" w:sz="8" w:space="0"/>
              <w:bottom w:val="single" w:color="auto"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北京</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150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天津</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6个中心城区、滨海新区、东丽区、西青区、津南区、北辰区、武清区、宝坻区、静海区、蓟县</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宁河区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河北</w:t>
            </w:r>
          </w:p>
        </w:tc>
        <w:tc>
          <w:tcPr>
            <w:tcW w:w="2172"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石家庄市、张家口市、秦皇岛市、廊坊市、承德市、保定市</w:t>
            </w:r>
          </w:p>
        </w:tc>
        <w:tc>
          <w:tcPr>
            <w:tcW w:w="784" w:type="dxa"/>
            <w:vMerge w:val="restart"/>
            <w:tcBorders>
              <w:top w:val="nil"/>
              <w:left w:val="single" w:color="auto" w:sz="8" w:space="0"/>
              <w:bottom w:val="single" w:color="000000"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vMerge w:val="restart"/>
            <w:tcBorders>
              <w:top w:val="nil"/>
              <w:left w:val="single" w:color="auto" w:sz="4" w:space="0"/>
              <w:bottom w:val="single" w:color="000000"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张家口市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7-9月、11-3月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675</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kern w:val="0"/>
                <w:sz w:val="20"/>
                <w:szCs w:val="20"/>
              </w:rPr>
            </w:pPr>
          </w:p>
        </w:tc>
        <w:tc>
          <w:tcPr>
            <w:tcW w:w="784" w:type="dxa"/>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4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000000" w:sz="4" w:space="0"/>
              <w:right w:val="single" w:color="auto" w:sz="8" w:space="0"/>
            </w:tcBorders>
            <w:shd w:val="clear" w:color="auto" w:fill="auto"/>
            <w:noWrap w:val="0"/>
            <w:vAlign w:val="center"/>
          </w:tcPr>
          <w:p>
            <w:pPr>
              <w:widowControl/>
              <w:jc w:val="left"/>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秦皇岛市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kern w:val="0"/>
                <w:sz w:val="20"/>
                <w:szCs w:val="20"/>
              </w:rPr>
            </w:pPr>
          </w:p>
        </w:tc>
        <w:tc>
          <w:tcPr>
            <w:tcW w:w="784" w:type="dxa"/>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4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000000" w:sz="4" w:space="0"/>
              <w:right w:val="single" w:color="auto" w:sz="8" w:space="0"/>
            </w:tcBorders>
            <w:shd w:val="clear" w:color="auto" w:fill="auto"/>
            <w:noWrap w:val="0"/>
            <w:vAlign w:val="center"/>
          </w:tcPr>
          <w:p>
            <w:pPr>
              <w:widowControl/>
              <w:jc w:val="left"/>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承德市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580</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nil"/>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山西</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太原市、大同市、晋城市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临汾市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阳泉市、长治市、晋中市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tcBorders>
              <w:top w:val="single" w:color="auto" w:sz="4" w:space="0"/>
              <w:left w:val="single" w:color="auto" w:sz="8" w:space="0"/>
              <w:bottom w:val="nil"/>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呼和浩特市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720" w:hRule="atLeast"/>
        </w:trPr>
        <w:tc>
          <w:tcPr>
            <w:tcW w:w="723" w:type="dxa"/>
            <w:tcBorders>
              <w:top w:val="nil"/>
              <w:left w:val="single" w:color="auto" w:sz="8" w:space="0"/>
              <w:bottom w:val="nil"/>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72"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vMerge w:val="restart"/>
            <w:tcBorders>
              <w:top w:val="nil"/>
              <w:left w:val="single" w:color="auto" w:sz="8" w:space="0"/>
              <w:bottom w:val="single" w:color="000000"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560" w:type="dxa"/>
            <w:vMerge w:val="restart"/>
            <w:tcBorders>
              <w:top w:val="nil"/>
              <w:left w:val="single" w:color="auto" w:sz="4" w:space="0"/>
              <w:bottom w:val="single" w:color="000000"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海拉尔市、满洲里市、阿尔山市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r>
      <w:tr>
        <w:tblPrEx>
          <w:tblCellMar>
            <w:top w:w="0" w:type="dxa"/>
            <w:left w:w="108" w:type="dxa"/>
            <w:bottom w:w="0" w:type="dxa"/>
            <w:right w:w="108" w:type="dxa"/>
          </w:tblCellMar>
        </w:tblPrEx>
        <w:trPr>
          <w:wBefore w:w="0" w:type="dxa"/>
          <w:wAfter w:w="0" w:type="dxa"/>
          <w:trHeight w:val="270" w:hRule="atLeast"/>
        </w:trPr>
        <w:tc>
          <w:tcPr>
            <w:tcW w:w="723" w:type="dxa"/>
            <w:tcBorders>
              <w:top w:val="nil"/>
              <w:left w:val="single" w:color="auto" w:sz="8" w:space="0"/>
              <w:bottom w:val="nil"/>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内蒙古</w:t>
            </w:r>
          </w:p>
        </w:tc>
        <w:tc>
          <w:tcPr>
            <w:tcW w:w="2172"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kern w:val="0"/>
                <w:sz w:val="20"/>
                <w:szCs w:val="20"/>
              </w:rPr>
            </w:pPr>
          </w:p>
        </w:tc>
        <w:tc>
          <w:tcPr>
            <w:tcW w:w="784" w:type="dxa"/>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4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000000" w:sz="4" w:space="0"/>
              <w:right w:val="single" w:color="auto" w:sz="8" w:space="0"/>
            </w:tcBorders>
            <w:shd w:val="clear" w:color="auto" w:fill="auto"/>
            <w:noWrap w:val="0"/>
            <w:vAlign w:val="center"/>
          </w:tcPr>
          <w:p>
            <w:pPr>
              <w:widowControl/>
              <w:jc w:val="left"/>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二连浩特市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r>
      <w:tr>
        <w:tblPrEx>
          <w:tblCellMar>
            <w:top w:w="0" w:type="dxa"/>
            <w:left w:w="108" w:type="dxa"/>
            <w:bottom w:w="0" w:type="dxa"/>
            <w:right w:w="108" w:type="dxa"/>
          </w:tblCellMar>
        </w:tblPrEx>
        <w:trPr>
          <w:wBefore w:w="0" w:type="dxa"/>
          <w:wAfter w:w="0" w:type="dxa"/>
          <w:trHeight w:val="270" w:hRule="atLeast"/>
        </w:trPr>
        <w:tc>
          <w:tcPr>
            <w:tcW w:w="723" w:type="dxa"/>
            <w:tcBorders>
              <w:top w:val="nil"/>
              <w:left w:val="single" w:color="auto" w:sz="8" w:space="0"/>
              <w:bottom w:val="single" w:color="auto"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72"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kern w:val="0"/>
                <w:sz w:val="20"/>
                <w:szCs w:val="20"/>
              </w:rPr>
            </w:pPr>
          </w:p>
        </w:tc>
        <w:tc>
          <w:tcPr>
            <w:tcW w:w="784" w:type="dxa"/>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4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single" w:color="000000" w:sz="4" w:space="0"/>
              <w:right w:val="single" w:color="auto" w:sz="8" w:space="0"/>
            </w:tcBorders>
            <w:shd w:val="clear" w:color="auto" w:fill="auto"/>
            <w:noWrap w:val="0"/>
            <w:vAlign w:val="center"/>
          </w:tcPr>
          <w:p>
            <w:pPr>
              <w:widowControl/>
              <w:jc w:val="left"/>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额济纳旗</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9-10月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nil"/>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辽宁</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沈阳市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tcBorders>
              <w:top w:val="single" w:color="auto" w:sz="4" w:space="0"/>
              <w:left w:val="single" w:color="auto" w:sz="8" w:space="0"/>
              <w:bottom w:val="single" w:color="auto"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大连</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r>
      <w:tr>
        <w:tblPrEx>
          <w:tblCellMar>
            <w:top w:w="0" w:type="dxa"/>
            <w:left w:w="108" w:type="dxa"/>
            <w:bottom w:w="0" w:type="dxa"/>
            <w:right w:w="108" w:type="dxa"/>
          </w:tblCellMar>
        </w:tblPrEx>
        <w:trPr>
          <w:wBefore w:w="0" w:type="dxa"/>
          <w:wAfter w:w="0" w:type="dxa"/>
          <w:trHeight w:val="72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吉林</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长春市、吉林市、延边州、长白山管理区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吉林市、延边州、长白山管理区</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750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黑龙江</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哈尔滨市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哈尔滨市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r>
      <w:tr>
        <w:tblPrEx>
          <w:tblCellMar>
            <w:top w:w="0" w:type="dxa"/>
            <w:left w:w="108" w:type="dxa"/>
            <w:bottom w:w="0" w:type="dxa"/>
            <w:right w:w="108" w:type="dxa"/>
          </w:tblCellMar>
        </w:tblPrEx>
        <w:trPr>
          <w:wBefore w:w="0" w:type="dxa"/>
          <w:wAfter w:w="0" w:type="dxa"/>
          <w:trHeight w:val="1335"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750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牡丹江市、伊春市、大兴安岭地区、黑河市、佳木斯市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r>
      <w:tr>
        <w:tblPrEx>
          <w:tblCellMar>
            <w:top w:w="0" w:type="dxa"/>
            <w:left w:w="108" w:type="dxa"/>
            <w:bottom w:w="0" w:type="dxa"/>
            <w:right w:w="108" w:type="dxa"/>
          </w:tblCellMar>
        </w:tblPrEx>
        <w:trPr>
          <w:wBefore w:w="0" w:type="dxa"/>
          <w:wAfter w:w="0" w:type="dxa"/>
          <w:trHeight w:val="270" w:hRule="atLeast"/>
        </w:trPr>
        <w:tc>
          <w:tcPr>
            <w:tcW w:w="723" w:type="dxa"/>
            <w:tcBorders>
              <w:top w:val="nil"/>
              <w:left w:val="single" w:color="auto" w:sz="8" w:space="0"/>
              <w:bottom w:val="single" w:color="auto"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上海</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江苏</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南京市、苏州市、无锡市、常州市、镇江市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浙江</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杭州市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tcBorders>
              <w:top w:val="nil"/>
              <w:left w:val="single" w:color="auto" w:sz="8" w:space="0"/>
              <w:bottom w:val="single" w:color="auto"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宁波</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tcBorders>
              <w:top w:val="nil"/>
              <w:left w:val="single" w:color="auto" w:sz="8" w:space="0"/>
              <w:bottom w:val="single" w:color="auto"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安徽</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全省</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3" w:type="dxa"/>
            <w:vMerge w:val="restart"/>
            <w:tcBorders>
              <w:top w:val="nil"/>
              <w:left w:val="single" w:color="auto" w:sz="8" w:space="0"/>
              <w:bottom w:val="single" w:color="000000" w:sz="8"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福建</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福州市、泉州市、平潭综合实验区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85" w:hRule="atLeast"/>
        </w:trPr>
        <w:tc>
          <w:tcPr>
            <w:tcW w:w="723"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8" w:space="0"/>
              <w:right w:val="single" w:color="auto" w:sz="8" w:space="0"/>
            </w:tcBorders>
            <w:shd w:val="clear" w:color="auto" w:fill="FFFFFF"/>
            <w:noWrap/>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其他地区</w:t>
            </w:r>
          </w:p>
          <w:p>
            <w:pPr>
              <w:widowControl/>
              <w:jc w:val="center"/>
              <w:rPr>
                <w:rFonts w:ascii="宋体" w:hAnsi="宋体" w:cs="宋体"/>
                <w:kern w:val="0"/>
                <w:sz w:val="20"/>
                <w:szCs w:val="20"/>
              </w:rPr>
            </w:pPr>
            <w:r>
              <w:rPr>
                <w:rFonts w:hint="eastAsia" w:ascii="宋体" w:hAnsi="宋体" w:cs="宋体"/>
                <w:kern w:val="0"/>
                <w:sz w:val="20"/>
                <w:szCs w:val="20"/>
              </w:rPr>
              <w:t xml:space="preserve"> </w:t>
            </w:r>
          </w:p>
        </w:tc>
        <w:tc>
          <w:tcPr>
            <w:tcW w:w="784"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49"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8"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8"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tcBorders>
              <w:top w:val="nil"/>
              <w:left w:val="single" w:color="auto" w:sz="8" w:space="0"/>
              <w:bottom w:val="single" w:color="auto"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厦门</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tcBorders>
              <w:top w:val="nil"/>
              <w:left w:val="single" w:color="auto" w:sz="8" w:space="0"/>
              <w:bottom w:val="single" w:color="auto"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江西</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全省</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nil"/>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河南</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郑州市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洛阳市</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4-5月上旬</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single" w:color="auto" w:sz="4" w:space="0"/>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湖北</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武汉市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single" w:color="auto" w:sz="4" w:space="0"/>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湖南</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长沙市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720" w:hRule="atLeast"/>
        </w:trPr>
        <w:tc>
          <w:tcPr>
            <w:tcW w:w="723" w:type="dxa"/>
            <w:vMerge w:val="restart"/>
            <w:tcBorders>
              <w:top w:val="nil"/>
              <w:left w:val="single" w:color="auto" w:sz="8" w:space="0"/>
              <w:bottom w:val="nil"/>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广东</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广州市、珠海市、佛山市、东莞市、中山市、江门市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tcBorders>
              <w:top w:val="single" w:color="auto" w:sz="4" w:space="0"/>
              <w:left w:val="single" w:color="auto" w:sz="8" w:space="0"/>
              <w:bottom w:val="single" w:color="auto"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深圳</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全市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nil"/>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广西</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南宁市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570" w:hRule="atLeast"/>
        </w:trPr>
        <w:tc>
          <w:tcPr>
            <w:tcW w:w="723"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桂林市、北海市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1-2月、</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r>
      <w:tr>
        <w:tblPrEx>
          <w:tblCellMar>
            <w:top w:w="0" w:type="dxa"/>
            <w:left w:w="108" w:type="dxa"/>
            <w:bottom w:w="0" w:type="dxa"/>
            <w:right w:w="108" w:type="dxa"/>
          </w:tblCellMar>
        </w:tblPrEx>
        <w:trPr>
          <w:wBefore w:w="0" w:type="dxa"/>
          <w:wAfter w:w="0" w:type="dxa"/>
          <w:trHeight w:val="825" w:hRule="atLeast"/>
        </w:trPr>
        <w:tc>
          <w:tcPr>
            <w:tcW w:w="723" w:type="dxa"/>
            <w:vMerge w:val="restart"/>
            <w:tcBorders>
              <w:top w:val="single" w:color="auto" w:sz="4" w:space="0"/>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海南</w:t>
            </w:r>
          </w:p>
        </w:tc>
        <w:tc>
          <w:tcPr>
            <w:tcW w:w="2172" w:type="dxa"/>
            <w:vMerge w:val="restart"/>
            <w:tcBorders>
              <w:top w:val="nil"/>
              <w:left w:val="single" w:color="auto" w:sz="8" w:space="0"/>
              <w:bottom w:val="nil"/>
              <w:right w:val="single" w:color="auto" w:sz="8" w:space="0"/>
            </w:tcBorders>
            <w:shd w:val="clear" w:color="auto"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海口市、三沙市、儋州市、五指山市、文昌市、琼海市、万宁市、东方市、定安县、屯昌县、澄迈县、临高县、白沙县、昌江县、乐东县、陵水县、保亭县、琼中县、洋浦开发区</w:t>
            </w:r>
          </w:p>
        </w:tc>
        <w:tc>
          <w:tcPr>
            <w:tcW w:w="784" w:type="dxa"/>
            <w:vMerge w:val="restart"/>
            <w:tcBorders>
              <w:top w:val="nil"/>
              <w:left w:val="single" w:color="auto" w:sz="8" w:space="0"/>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vMerge w:val="restart"/>
            <w:tcBorders>
              <w:top w:val="nil"/>
              <w:left w:val="single" w:color="auto" w:sz="4" w:space="0"/>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560" w:type="dxa"/>
            <w:vMerge w:val="restart"/>
            <w:tcBorders>
              <w:top w:val="nil"/>
              <w:left w:val="single" w:color="auto" w:sz="4" w:space="0"/>
              <w:bottom w:val="nil"/>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 海口市、文昌市、</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澄迈县</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r>
      <w:tr>
        <w:tblPrEx>
          <w:tblCellMar>
            <w:top w:w="0" w:type="dxa"/>
            <w:left w:w="108" w:type="dxa"/>
            <w:bottom w:w="0" w:type="dxa"/>
            <w:right w:w="108" w:type="dxa"/>
          </w:tblCellMar>
        </w:tblPrEx>
        <w:trPr>
          <w:wBefore w:w="0" w:type="dxa"/>
          <w:wAfter w:w="0" w:type="dxa"/>
          <w:trHeight w:val="1095" w:hRule="atLeast"/>
        </w:trPr>
        <w:tc>
          <w:tcPr>
            <w:tcW w:w="723" w:type="dxa"/>
            <w:vMerge w:val="continue"/>
            <w:tcBorders>
              <w:top w:val="single" w:color="auto" w:sz="4" w:space="0"/>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kern w:val="0"/>
                <w:sz w:val="20"/>
                <w:szCs w:val="20"/>
              </w:rPr>
            </w:pPr>
          </w:p>
        </w:tc>
        <w:tc>
          <w:tcPr>
            <w:tcW w:w="784" w:type="dxa"/>
            <w:vMerge w:val="continue"/>
            <w:tcBorders>
              <w:top w:val="nil"/>
              <w:left w:val="single" w:color="auto" w:sz="8" w:space="0"/>
              <w:bottom w:val="nil"/>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49"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60" w:type="dxa"/>
            <w:vMerge w:val="continue"/>
            <w:tcBorders>
              <w:top w:val="nil"/>
              <w:left w:val="single" w:color="auto" w:sz="4" w:space="0"/>
              <w:bottom w:val="nil"/>
              <w:right w:val="single" w:color="auto" w:sz="8" w:space="0"/>
            </w:tcBorders>
            <w:shd w:val="clear" w:color="auto" w:fill="auto"/>
            <w:noWrap w:val="0"/>
            <w:vAlign w:val="center"/>
          </w:tcPr>
          <w:p>
            <w:pPr>
              <w:widowControl/>
              <w:jc w:val="left"/>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 琼海市、万宁市、</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陵水县、保亭县</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11-3月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single" w:color="auto" w:sz="4" w:space="0"/>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single" w:color="auto" w:sz="4" w:space="0"/>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三亚市</w:t>
            </w:r>
          </w:p>
        </w:tc>
        <w:tc>
          <w:tcPr>
            <w:tcW w:w="784"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560" w:type="dxa"/>
            <w:tcBorders>
              <w:top w:val="single" w:color="auto" w:sz="4" w:space="0"/>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三亚市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重庆</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9个中心城区、北部新区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770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四川</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成都市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阿坝州、甘孜州</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435"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绵阳市、乐山市、雅安市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宜宾市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凉山州</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德阳市、遂宁市、巴中市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贵州</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贵阳市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750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90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云南</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昆明市、大理州、丽江市、迪庆州、西双版纳州</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8"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西藏</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拉萨市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拉萨市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530</w:t>
            </w:r>
          </w:p>
        </w:tc>
      </w:tr>
      <w:tr>
        <w:tblPrEx>
          <w:tblCellMar>
            <w:top w:w="0" w:type="dxa"/>
            <w:left w:w="108" w:type="dxa"/>
            <w:bottom w:w="0" w:type="dxa"/>
            <w:right w:w="108" w:type="dxa"/>
          </w:tblCellMar>
        </w:tblPrEx>
        <w:trPr>
          <w:wBefore w:w="0" w:type="dxa"/>
          <w:wAfter w:w="0" w:type="dxa"/>
          <w:trHeight w:val="285" w:hRule="atLeast"/>
        </w:trPr>
        <w:tc>
          <w:tcPr>
            <w:tcW w:w="723"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8"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500 </w:t>
            </w:r>
          </w:p>
        </w:tc>
        <w:tc>
          <w:tcPr>
            <w:tcW w:w="549"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560" w:type="dxa"/>
            <w:tcBorders>
              <w:top w:val="nil"/>
              <w:left w:val="nil"/>
              <w:bottom w:val="single" w:color="auto" w:sz="8"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8" w:space="0"/>
              <w:right w:val="nil"/>
            </w:tcBorders>
            <w:shd w:val="clear" w:color="auto" w:fill="FFFFFF"/>
            <w:noWrap/>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 xml:space="preserve"> 其他地区</w:t>
            </w:r>
          </w:p>
          <w:p>
            <w:pPr>
              <w:widowControl/>
              <w:jc w:val="center"/>
              <w:rPr>
                <w:rFonts w:hint="eastAsia" w:ascii="宋体" w:hAnsi="宋体" w:eastAsia="宋体" w:cs="宋体"/>
                <w:kern w:val="0"/>
                <w:sz w:val="20"/>
                <w:szCs w:val="20"/>
                <w:lang w:eastAsia="zh-CN"/>
              </w:rPr>
            </w:pPr>
          </w:p>
          <w:p>
            <w:pPr>
              <w:widowControl/>
              <w:jc w:val="center"/>
              <w:rPr>
                <w:rFonts w:ascii="宋体" w:hAnsi="宋体" w:cs="宋体"/>
                <w:kern w:val="0"/>
                <w:sz w:val="20"/>
                <w:szCs w:val="20"/>
              </w:rPr>
            </w:pPr>
            <w:r>
              <w:rPr>
                <w:rFonts w:hint="eastAsia" w:ascii="宋体" w:hAnsi="宋体" w:cs="宋体"/>
                <w:kern w:val="0"/>
                <w:sz w:val="20"/>
                <w:szCs w:val="20"/>
              </w:rPr>
              <w:t xml:space="preserve"> </w:t>
            </w:r>
          </w:p>
        </w:tc>
        <w:tc>
          <w:tcPr>
            <w:tcW w:w="1000" w:type="dxa"/>
            <w:tcBorders>
              <w:top w:val="nil"/>
              <w:left w:val="single" w:color="auto" w:sz="4" w:space="0"/>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6-9月</w:t>
            </w:r>
          </w:p>
        </w:tc>
        <w:tc>
          <w:tcPr>
            <w:tcW w:w="616"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516"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560" w:type="dxa"/>
            <w:tcBorders>
              <w:top w:val="nil"/>
              <w:left w:val="nil"/>
              <w:bottom w:val="single" w:color="auto" w:sz="8"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陕西</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西安市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榆林市、延安市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680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4" w:space="0"/>
              <w:right w:val="nil"/>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杨凌区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680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咸阳市、宝鸡市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渭南市、韩城市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甘肃</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兰州市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700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青海</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西宁市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西宁市</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530</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玉树州、果洛州</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玉树州</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r>
      <w:tr>
        <w:tblPrEx>
          <w:tblCellMar>
            <w:top w:w="0" w:type="dxa"/>
            <w:left w:w="108" w:type="dxa"/>
            <w:bottom w:w="0" w:type="dxa"/>
            <w:right w:w="108" w:type="dxa"/>
          </w:tblCellMar>
        </w:tblPrEx>
        <w:trPr>
          <w:wBefore w:w="0" w:type="dxa"/>
          <w:wAfter w:w="0" w:type="dxa"/>
          <w:trHeight w:val="48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海北州、黄南州</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海北州、黄南州</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375</w:t>
            </w:r>
          </w:p>
        </w:tc>
      </w:tr>
      <w:tr>
        <w:tblPrEx>
          <w:tblCellMar>
            <w:top w:w="0" w:type="dxa"/>
            <w:left w:w="108" w:type="dxa"/>
            <w:bottom w:w="0" w:type="dxa"/>
            <w:right w:w="108" w:type="dxa"/>
          </w:tblCellMar>
        </w:tblPrEx>
        <w:trPr>
          <w:wBefore w:w="0" w:type="dxa"/>
          <w:wAfter w:w="0" w:type="dxa"/>
          <w:trHeight w:val="48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海东市、海南州</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海东市、海南州</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375</w:t>
            </w:r>
          </w:p>
        </w:tc>
      </w:tr>
      <w:tr>
        <w:tblPrEx>
          <w:tblCellMar>
            <w:top w:w="0" w:type="dxa"/>
            <w:left w:w="108" w:type="dxa"/>
            <w:bottom w:w="0" w:type="dxa"/>
            <w:right w:w="108" w:type="dxa"/>
          </w:tblCellMar>
        </w:tblPrEx>
        <w:trPr>
          <w:wBefore w:w="0" w:type="dxa"/>
          <w:wAfter w:w="0" w:type="dxa"/>
          <w:trHeight w:val="146"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海西州</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56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海西州</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5-9月</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4"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宁夏</w:t>
            </w: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银川市</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4"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nil"/>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其他地区</w:t>
            </w:r>
          </w:p>
        </w:tc>
        <w:tc>
          <w:tcPr>
            <w:tcW w:w="784" w:type="dxa"/>
            <w:tcBorders>
              <w:top w:val="nil"/>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nil"/>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560" w:type="dxa"/>
            <w:tcBorders>
              <w:top w:val="nil"/>
              <w:left w:val="nil"/>
              <w:bottom w:val="nil"/>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1080" w:type="dxa"/>
            <w:tcBorders>
              <w:top w:val="nil"/>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nil"/>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restart"/>
            <w:tcBorders>
              <w:top w:val="nil"/>
              <w:left w:val="single" w:color="auto" w:sz="8" w:space="0"/>
              <w:bottom w:val="single" w:color="000000" w:sz="8" w:space="0"/>
              <w:right w:val="single" w:color="auto" w:sz="8" w:space="0"/>
            </w:tcBorders>
            <w:shd w:val="clear" w:color="auto"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新疆</w:t>
            </w:r>
          </w:p>
        </w:tc>
        <w:tc>
          <w:tcPr>
            <w:tcW w:w="2172" w:type="dxa"/>
            <w:tcBorders>
              <w:top w:val="single" w:color="auto" w:sz="4" w:space="0"/>
              <w:left w:val="nil"/>
              <w:bottom w:val="nil"/>
              <w:right w:val="single" w:color="auto" w:sz="8"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乌鲁木齐市</w:t>
            </w:r>
          </w:p>
        </w:tc>
        <w:tc>
          <w:tcPr>
            <w:tcW w:w="784" w:type="dxa"/>
            <w:tcBorders>
              <w:top w:val="single" w:color="auto" w:sz="4" w:space="0"/>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549" w:type="dxa"/>
            <w:tcBorders>
              <w:top w:val="single" w:color="auto" w:sz="4" w:space="0"/>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single" w:color="auto" w:sz="4" w:space="0"/>
              <w:left w:val="nil"/>
              <w:bottom w:val="nil"/>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080" w:type="dxa"/>
            <w:tcBorders>
              <w:top w:val="single" w:color="auto" w:sz="4" w:space="0"/>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single" w:color="auto" w:sz="4" w:space="0"/>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single" w:color="auto" w:sz="4" w:space="0"/>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single" w:color="auto" w:sz="4" w:space="0"/>
              <w:left w:val="nil"/>
              <w:bottom w:val="nil"/>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nil"/>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1200" w:hRule="atLeast"/>
        </w:trPr>
        <w:tc>
          <w:tcPr>
            <w:tcW w:w="723"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single" w:color="auto" w:sz="4" w:space="0"/>
              <w:left w:val="nil"/>
              <w:bottom w:val="single" w:color="auto" w:sz="4" w:space="0"/>
              <w:right w:val="single" w:color="auto" w:sz="8" w:space="0"/>
            </w:tcBorders>
            <w:shd w:val="clear" w:color="auto"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石河子市、克拉玛依市、昌吉州、伊犁州、阿勒泰地区、博州、吐鲁番市、哈密地区、巴州、和田地区</w:t>
            </w:r>
          </w:p>
        </w:tc>
        <w:tc>
          <w:tcPr>
            <w:tcW w:w="784"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single" w:color="auto" w:sz="4" w:space="0"/>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340</w:t>
            </w:r>
          </w:p>
        </w:tc>
        <w:tc>
          <w:tcPr>
            <w:tcW w:w="1080" w:type="dxa"/>
            <w:tcBorders>
              <w:top w:val="single" w:color="auto" w:sz="4" w:space="0"/>
              <w:left w:val="nil"/>
              <w:bottom w:val="single" w:color="auto" w:sz="4" w:space="0"/>
              <w:right w:val="single" w:color="auto" w:sz="4" w:space="0"/>
            </w:tcBorders>
            <w:shd w:val="clear" w:color="auto" w:fill="FFFFFF"/>
            <w:noWrap w:val="0"/>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single" w:color="auto" w:sz="4" w:space="0"/>
              <w:left w:val="nil"/>
              <w:bottom w:val="single" w:color="auto" w:sz="4" w:space="0"/>
              <w:right w:val="single" w:color="auto" w:sz="4" w:space="0"/>
            </w:tcBorders>
            <w:shd w:val="clear" w:color="auto" w:fill="FFFFFF"/>
            <w:noWrap w:val="0"/>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single" w:color="auto" w:sz="4" w:space="0"/>
              <w:left w:val="nil"/>
              <w:bottom w:val="single" w:color="auto" w:sz="4" w:space="0"/>
              <w:right w:val="single" w:color="auto" w:sz="4" w:space="0"/>
            </w:tcBorders>
            <w:shd w:val="clear" w:color="auto" w:fill="FFFFFF"/>
            <w:noWrap w:val="0"/>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16" w:type="dxa"/>
            <w:tcBorders>
              <w:top w:val="single" w:color="auto" w:sz="4" w:space="0"/>
              <w:left w:val="nil"/>
              <w:bottom w:val="single" w:color="auto" w:sz="4" w:space="0"/>
              <w:right w:val="single" w:color="auto" w:sz="4" w:space="0"/>
            </w:tcBorders>
            <w:shd w:val="clear" w:color="auto" w:fill="FFFFFF"/>
            <w:noWrap w:val="0"/>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single" w:color="auto" w:sz="4" w:space="0"/>
              <w:left w:val="nil"/>
              <w:bottom w:val="single" w:color="auto" w:sz="4" w:space="0"/>
              <w:right w:val="single" w:color="auto" w:sz="8" w:space="0"/>
            </w:tcBorders>
            <w:shd w:val="clear" w:color="auto" w:fill="FFFFFF"/>
            <w:noWrap w:val="0"/>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克州</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080" w:type="dxa"/>
            <w:tcBorders>
              <w:top w:val="nil"/>
              <w:left w:val="nil"/>
              <w:bottom w:val="single" w:color="auto" w:sz="4" w:space="0"/>
              <w:right w:val="single" w:color="auto" w:sz="4" w:space="0"/>
            </w:tcBorders>
            <w:shd w:val="clear" w:color="auto" w:fill="FFFFFF"/>
            <w:noWrap w:val="0"/>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FFFFFF"/>
            <w:noWrap w:val="0"/>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FFFFFF"/>
            <w:noWrap w:val="0"/>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16" w:type="dxa"/>
            <w:tcBorders>
              <w:top w:val="nil"/>
              <w:left w:val="nil"/>
              <w:bottom w:val="single" w:color="auto" w:sz="4" w:space="0"/>
              <w:right w:val="single" w:color="auto" w:sz="4" w:space="0"/>
            </w:tcBorders>
            <w:shd w:val="clear" w:color="auto" w:fill="FFFFFF"/>
            <w:noWrap w:val="0"/>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0" w:type="dxa"/>
            <w:tcBorders>
              <w:top w:val="nil"/>
              <w:left w:val="nil"/>
              <w:bottom w:val="single" w:color="auto" w:sz="4" w:space="0"/>
              <w:right w:val="single" w:color="auto" w:sz="8" w:space="0"/>
            </w:tcBorders>
            <w:shd w:val="clear" w:color="auto" w:fill="FFFFFF"/>
            <w:noWrap w:val="0"/>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喀什地区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4" w:space="0"/>
              <w:right w:val="single" w:color="auto" w:sz="4" w:space="0"/>
            </w:tcBorders>
            <w:shd w:val="clear" w:color="auto" w:fill="FFFFFF"/>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3"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阿克苏地区</w:t>
            </w:r>
          </w:p>
        </w:tc>
        <w:tc>
          <w:tcPr>
            <w:tcW w:w="78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54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560" w:type="dxa"/>
            <w:tcBorders>
              <w:top w:val="nil"/>
              <w:left w:val="nil"/>
              <w:bottom w:val="single" w:color="auto" w:sz="4"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4" w:space="0"/>
              <w:right w:val="single" w:color="auto" w:sz="4" w:space="0"/>
            </w:tcBorders>
            <w:shd w:val="clear" w:color="auto" w:fill="FFFFFF"/>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4" w:space="0"/>
              <w:right w:val="single" w:color="auto" w:sz="8" w:space="0"/>
            </w:tcBorders>
            <w:shd w:val="clear" w:color="auto" w:fill="FFFFFF"/>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wBefore w:w="0" w:type="dxa"/>
          <w:wAfter w:w="0" w:type="dxa"/>
          <w:trHeight w:val="285" w:hRule="atLeast"/>
        </w:trPr>
        <w:tc>
          <w:tcPr>
            <w:tcW w:w="723"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0"/>
                <w:szCs w:val="20"/>
              </w:rPr>
            </w:pPr>
          </w:p>
        </w:tc>
        <w:tc>
          <w:tcPr>
            <w:tcW w:w="2172" w:type="dxa"/>
            <w:tcBorders>
              <w:top w:val="nil"/>
              <w:left w:val="nil"/>
              <w:bottom w:val="single" w:color="auto" w:sz="8" w:space="0"/>
              <w:right w:val="single" w:color="auto" w:sz="8" w:space="0"/>
            </w:tcBorders>
            <w:shd w:val="clear" w:color="auto" w:fill="FFFFFF"/>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 塔城地区</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784"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549"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560" w:type="dxa"/>
            <w:tcBorders>
              <w:top w:val="nil"/>
              <w:left w:val="nil"/>
              <w:bottom w:val="single" w:color="auto" w:sz="8" w:space="0"/>
              <w:right w:val="single" w:color="auto" w:sz="8"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80" w:type="dxa"/>
            <w:tcBorders>
              <w:top w:val="nil"/>
              <w:left w:val="nil"/>
              <w:bottom w:val="single" w:color="auto" w:sz="8" w:space="0"/>
              <w:right w:val="single" w:color="auto" w:sz="4" w:space="0"/>
            </w:tcBorders>
            <w:shd w:val="clear" w:color="auto" w:fill="FFFFFF"/>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6" w:type="dxa"/>
            <w:tcBorders>
              <w:top w:val="nil"/>
              <w:left w:val="nil"/>
              <w:bottom w:val="single" w:color="auto" w:sz="8"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nil"/>
              <w:left w:val="nil"/>
              <w:bottom w:val="single" w:color="auto" w:sz="8" w:space="0"/>
              <w:right w:val="single" w:color="auto" w:sz="8" w:space="0"/>
            </w:tcBorders>
            <w:shd w:val="clear" w:color="auto" w:fill="FFFFFF"/>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Pr>
        <w:adjustRightInd w:val="0"/>
        <w:snapToGrid w:val="0"/>
        <w:spacing w:before="150" w:line="360" w:lineRule="auto"/>
        <w:ind w:firstLine="5017" w:firstLineChars="1568"/>
        <w:rPr>
          <w:rFonts w:hint="eastAsia" w:ascii="宋体" w:hAnsi="宋体"/>
          <w:sz w:val="32"/>
          <w:szCs w:val="32"/>
        </w:rPr>
      </w:pPr>
    </w:p>
    <w:p>
      <w:pPr>
        <w:jc w:val="center"/>
        <w:rPr>
          <w:rStyle w:val="13"/>
          <w:rFonts w:hint="eastAsia" w:ascii="方正小标宋简体" w:hAnsi="方正小标宋简体" w:eastAsia="方正小标宋简体" w:cs="方正小标宋简体"/>
          <w:b/>
          <w:bCs/>
          <w:color w:val="2B2B2B"/>
          <w:kern w:val="0"/>
          <w:sz w:val="44"/>
          <w:szCs w:val="44"/>
          <w:lang w:val="en-US" w:eastAsia="zh-CN" w:bidi="ar-SA"/>
        </w:rPr>
      </w:pPr>
      <w:r>
        <w:rPr>
          <w:rFonts w:ascii="宋体" w:hAnsi="宋体" w:cs="方正小标宋简体"/>
          <w:spacing w:val="-6"/>
          <w:sz w:val="32"/>
          <w:szCs w:val="32"/>
        </w:rPr>
        <w:br w:type="page"/>
      </w:r>
      <w:r>
        <w:rPr>
          <w:rStyle w:val="13"/>
          <w:rFonts w:hint="eastAsia" w:ascii="方正小标宋简体" w:hAnsi="方正小标宋简体" w:eastAsia="方正小标宋简体" w:cs="方正小标宋简体"/>
          <w:b/>
          <w:bCs/>
          <w:color w:val="2B2B2B"/>
          <w:kern w:val="0"/>
          <w:sz w:val="44"/>
          <w:szCs w:val="44"/>
          <w:lang w:val="en-US" w:eastAsia="zh-CN" w:bidi="ar-SA"/>
        </w:rPr>
        <w:t>关于进一步规范差旅费报销事宜的通知</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各处室、系、部（中心）、相关单位：</w:t>
      </w:r>
    </w:p>
    <w:p>
      <w:pPr>
        <w:widowControl/>
        <w:shd w:val="clear" w:color="auto" w:fill="FFFFFF"/>
        <w:ind w:firstLine="640" w:firstLineChars="200"/>
        <w:jc w:val="left"/>
        <w:rPr>
          <w:rFonts w:hint="eastAsia" w:ascii="宋体" w:hAnsi="宋体"/>
          <w:sz w:val="28"/>
          <w:szCs w:val="28"/>
        </w:rPr>
      </w:pPr>
      <w:r>
        <w:rPr>
          <w:rFonts w:hint="eastAsia" w:ascii="方正仿宋_GB2312" w:hAnsi="方正仿宋_GB2312" w:eastAsia="方正仿宋_GB2312" w:cs="方正仿宋_GB2312"/>
          <w:color w:val="2B2B2B"/>
          <w:kern w:val="0"/>
          <w:sz w:val="32"/>
          <w:szCs w:val="32"/>
          <w:lang w:val="en-US" w:eastAsia="zh-CN" w:bidi="ar-SA"/>
        </w:rPr>
        <w:t>根据省财政厅《山东省省直机关差旅费管理办法》的规定，为严肃财经纪律，严格落实各项财务管理制度，在对前期制度实施效果调研的基础上，对我院《差旅费管理办法》执行过程中产生的问题进行总结，并对相关条款加以重申和强调。现通知如下：</w:t>
      </w:r>
    </w:p>
    <w:p>
      <w:pPr>
        <w:widowControl/>
        <w:shd w:val="clear" w:color="auto" w:fill="FFFFFF"/>
        <w:ind w:firstLine="640" w:firstLineChars="200"/>
        <w:jc w:val="left"/>
        <w:rPr>
          <w:rFonts w:hint="eastAsia" w:ascii="方正楷体_GB2312" w:hAnsi="方正楷体_GB2312" w:eastAsia="方正楷体_GB2312" w:cs="方正楷体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一、审批程序</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凡是公务出差，出差前必须按规定进行申请、审批管理。经部门负责人、院分管负责人、主要负责人审批后出行。凡未经审批或未按规定流程审批的，不予补签，不予报销出差费用。</w:t>
      </w:r>
    </w:p>
    <w:p>
      <w:pPr>
        <w:widowControl/>
        <w:shd w:val="clear" w:color="auto" w:fill="FFFFFF"/>
        <w:ind w:firstLine="640" w:firstLineChars="200"/>
        <w:jc w:val="left"/>
        <w:rPr>
          <w:rFonts w:hint="eastAsia" w:ascii="方正楷体_GB2312" w:hAnsi="方正楷体_GB2312" w:eastAsia="方正楷体_GB2312" w:cs="方正楷体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二、交通工具选择</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文件中明确规定“高铁沿线目的地，一般应选择高铁出行；旅途时间在5个小时以上的，可以选择乘坐飞机出行”，凡乘坐飞机出行的，应购买公务机票，否则不予报销；同时，公务出差不得选择驾驶私家车出行，不报销私人燃油费、路桥费。</w:t>
      </w:r>
    </w:p>
    <w:p>
      <w:pPr>
        <w:widowControl/>
        <w:shd w:val="clear" w:color="auto" w:fill="FFFFFF"/>
        <w:ind w:firstLine="640" w:firstLineChars="200"/>
        <w:jc w:val="left"/>
        <w:rPr>
          <w:rFonts w:hint="eastAsia" w:ascii="方正楷体_GB2312" w:hAnsi="方正楷体_GB2312" w:eastAsia="方正楷体_GB2312" w:cs="方正楷体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三、行程管理</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经</w:t>
      </w:r>
      <w:r>
        <w:rPr>
          <w:rFonts w:hint="eastAsia" w:ascii="方正仿宋_GB2312" w:hAnsi="方正仿宋_GB2312" w:eastAsia="方正仿宋_GB2312" w:cs="方正仿宋_GB2312"/>
          <w:color w:val="2B2B2B"/>
          <w:kern w:val="0"/>
          <w:sz w:val="32"/>
          <w:szCs w:val="32"/>
          <w:lang w:val="en-US" w:eastAsia="zh-CN" w:bidi="ar-SA"/>
        </w:rPr>
        <w:t>审批出行的，应严格按审批的期限、路线执行公务，不得超出审批范围。凡超出审批范围的，不予报销。</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特此通知。</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                         </w:t>
      </w:r>
    </w:p>
    <w:p>
      <w:pPr>
        <w:widowControl/>
        <w:shd w:val="clear" w:color="auto" w:fill="FFFFFF"/>
        <w:ind w:firstLine="4800" w:firstLineChars="15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山东旅游职业学院</w:t>
      </w:r>
    </w:p>
    <w:p>
      <w:pPr>
        <w:widowControl/>
        <w:shd w:val="clear" w:color="auto" w:fill="FFFFFF"/>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                          2016年6月28日</w:t>
      </w:r>
    </w:p>
    <w:p>
      <w:pPr>
        <w:rPr>
          <w:rFonts w:hint="eastAsia" w:ascii="宋体" w:hAnsi="宋体"/>
        </w:rPr>
      </w:pP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Style w:val="13"/>
          <w:rFonts w:hint="eastAsia" w:ascii="方正小标宋简体" w:hAnsi="方正小标宋简体" w:eastAsia="方正小标宋简体" w:cs="方正小标宋简体"/>
          <w:b/>
          <w:bCs/>
          <w:color w:val="2B2B2B"/>
          <w:sz w:val="44"/>
          <w:szCs w:val="44"/>
        </w:rPr>
        <w:t>山东旅游职业学院财务管理办法</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第一章  总则</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第一条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为规范财务行为，加强财务管理和监督，提高资金使用效益，根据《事业单位财务规则》、《高等学校财务制度》和国家有关法规，结合我院实际情况制定本办法。</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财务管理的基本原则：贯彻执行国家有关法律、法规和财务规章制度；严格收支管理，坚持勤俭办学的方针，合理调控资金；量入为出，保障运转；保证重点，兼顾一般，注重资金使用效益。</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 财务管理的主要任务：</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（一）依法多渠道筹集资金，努力节约资金；</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（二）合理编制学院预算，并对预算执行过程进行控制和管理；</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（三）科学配置学院资源，提高资金使用效益，为学院重大问题的决策提供财务信息；</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（四）加强资产管理，保证国有资产安全，防止国有资产流失；</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（五）建立健全财务规章制度，规范院内经济秩序；</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（六）做好财务收支核算，定期编制财务报告，如实反映单位预算执行情况，进行财务活动分析。</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第二章  财务管理体制</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实行“统一领导、分级管理、集中核算”的财务管理体制。学院财务审计处归口核算全院各类资金。 </w:t>
      </w:r>
    </w:p>
    <w:p>
      <w:pPr>
        <w:pStyle w:val="9"/>
        <w:spacing w:before="0" w:beforeAutospacing="0" w:after="0" w:afterAutospacing="0"/>
        <w:ind w:firstLine="640" w:firstLineChars="200"/>
        <w:jc w:val="both"/>
        <w:rPr>
          <w:rFonts w:hint="eastAsia"/>
          <w:sz w:val="28"/>
          <w:szCs w:val="28"/>
        </w:rPr>
      </w:pPr>
      <w:r>
        <w:rPr>
          <w:rFonts w:hint="eastAsia" w:ascii="方正楷体_GB2312" w:hAnsi="方正楷体_GB2312" w:eastAsia="方正楷体_GB2312" w:cs="方正楷体_GB2312"/>
          <w:color w:val="2B2B2B"/>
          <w:kern w:val="0"/>
          <w:sz w:val="32"/>
          <w:szCs w:val="32"/>
          <w:lang w:val="en-US" w:eastAsia="zh-CN" w:bidi="ar-SA"/>
        </w:rPr>
        <w:t xml:space="preserve">第五条 </w:t>
      </w:r>
      <w:r>
        <w:rPr>
          <w:rFonts w:hint="eastAsia" w:ascii="方正仿宋_GB2312" w:hAnsi="方正仿宋_GB2312" w:eastAsia="方正仿宋_GB2312" w:cs="方正仿宋_GB2312"/>
          <w:color w:val="2B2B2B"/>
          <w:kern w:val="0"/>
          <w:sz w:val="32"/>
          <w:szCs w:val="32"/>
          <w:lang w:val="en-US" w:eastAsia="zh-CN" w:bidi="ar-SA"/>
        </w:rPr>
        <w:t>在学院党委领导下，院长主管学院财务工作。各部门主要负责人按照各自的职责和权限，负责监督和管理本部门的财务工作。对学院中长期财务收入与支出计划、年度经费预算与基建计划、年度财务决算与财务汇报材料、重大贷款事项、投资事项、融资和担保事项、20万元以上固定资产购建和处置、10万元以上年度预算追加、学院与其它组织和个人的重大合同的签订以及其它涉及到学院发展、规划的重大财务事项，院长办公会研究后院党委会集体决策。</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第六条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学院单独设置财务审计处，作为学院的唯一财务机构，在院长领导下，统一管理学院的各项财务工作，不在财务审计处之外设置同级财务机构，各部门不单独设置财务机构，实行财务审计处统一报账制。</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第七条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学院下属校办经济实体，如因工作需要设置财务机构，需经院党委会批准后设置，同时应进行法人登记或实行经济责任目标管理，独立承担民事、经济责任。</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第三章  预决算管理</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第八条 </w:t>
      </w:r>
      <w:r>
        <w:rPr>
          <w:rFonts w:hint="eastAsia" w:ascii="方正仿宋_GB2312" w:hAnsi="方正仿宋_GB2312" w:eastAsia="方正仿宋_GB2312" w:cs="方正仿宋_GB2312"/>
          <w:color w:val="2B2B2B"/>
          <w:kern w:val="0"/>
          <w:sz w:val="32"/>
          <w:szCs w:val="32"/>
          <w:lang w:val="en-US" w:eastAsia="zh-CN" w:bidi="ar-SA"/>
        </w:rPr>
        <w:t>学院预算是指学院根据事业发展计划和目标编制的年度财务收支计划。</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学院必须在预算年度开始前编制预算，各部门在当年6月份开始编制下一年度预算，9月份提交财务审计处汇总，提出预算建议方案。实行“二上二下”的预算编制和批复程序，预算的内容包括收入预算和支出预算。</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第九条 </w:t>
      </w:r>
      <w:r>
        <w:rPr>
          <w:rFonts w:hint="eastAsia" w:ascii="方正仿宋_GB2312" w:hAnsi="方正仿宋_GB2312" w:eastAsia="方正仿宋_GB2312" w:cs="方正仿宋_GB2312"/>
          <w:color w:val="2B2B2B"/>
          <w:kern w:val="0"/>
          <w:sz w:val="32"/>
          <w:szCs w:val="32"/>
          <w:lang w:val="en-US" w:eastAsia="zh-CN" w:bidi="ar-SA"/>
        </w:rPr>
        <w:t>预算编制原则</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学院预算必须坚持“量入为出、收支平衡”的总原则。收入预算坚持积极稳妥原则，支出预算坚持优先保障、统筹兼顾、保证重点、勤俭节约等原则。各部门在年度预算执行中，原则上超支不补，结余结转按规定使用。</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第十条</w:t>
      </w:r>
      <w:r>
        <w:rPr>
          <w:rFonts w:hint="eastAsia" w:ascii="方正仿宋_GB2312" w:hAnsi="方正仿宋_GB2312" w:eastAsia="方正仿宋_GB2312" w:cs="方正仿宋_GB2312"/>
          <w:color w:val="2B2B2B"/>
          <w:kern w:val="0"/>
          <w:sz w:val="32"/>
          <w:szCs w:val="32"/>
          <w:lang w:val="en-US" w:eastAsia="zh-CN" w:bidi="ar-SA"/>
        </w:rPr>
        <w:t xml:space="preserve"> 预算编制方法</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收入预算主要包括财政补助收入、事业收入、上级补助收入、附属单位上缴收入、经营收入和其它收入。收入预算根据学院工作计划，参照近年收入情况，并考虑预算年度可能出现的收入增减因素编制。</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支出预算主要包括“基本支出预算”和“项目经费支出预算”。基本支出预算根据工作任务需要和学院实际情况与财力可能，采用定员、定额及参考实际工作量等办法测算编制，项目经费支出预算由院长办公会集体研究后，提交院党委会审定。</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财务处根据学院财力可能，参照近年学院及各部门收支情况，根据各部门业务工作情况和实际工作需要，按照预算全部资金结合使用的原则和部门预算的有关要求与标准，对学院的收支预算和各部门的经费预算进行测算、审核、汇总，向院长办公会提交建议方案。</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定员是指学院组织人事部门根据部门的性质、职能、业务范围和工作任务所下达的人员配置标准。定额是指部门正常运转和日常工作任务的合理需要，结合学院财力对各项基本支出由学院所规定的指标额度。基本支出定额项目主要包括行政公用经费。</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人员经费定额项目包括：基本工资、津贴及补贴、奖金、福利费、社会保险缴费、医疗保险、养老保险、失业保险、工伤保险、住房公积金、技能工资（含外聘教师课时酬金）及其它人员经费等。</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公用经费定额项目包括：办公费（含书报杂志、一般办公用品、电脑耗材等）、印刷费、水费、电费、邮电及通讯费、交通费、差旅费、招待费、宣传费、物业管理费（卫生保洁费、园林绿化费等）、劳动保护费、财务费用、招生费、就业费、培训费、消防费、对外支付的劳务费、租赁费、会议费、一般设备的购置费、图书购置费、教研教改及教学资料费、实验材料费、实习费、体育维持经费、维修费（一般设备、设施、仪器、工具等维修）、其它费用（如赔偿费、会员会费等）。</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具体编制细则参见《山东旅游职业学院预算管理暂行办法》。</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第十一条 </w:t>
      </w:r>
      <w:r>
        <w:rPr>
          <w:rFonts w:hint="eastAsia" w:ascii="方正仿宋_GB2312" w:hAnsi="方正仿宋_GB2312" w:eastAsia="方正仿宋_GB2312" w:cs="方正仿宋_GB2312"/>
          <w:color w:val="2B2B2B"/>
          <w:kern w:val="0"/>
          <w:sz w:val="32"/>
          <w:szCs w:val="32"/>
          <w:lang w:val="en-US" w:eastAsia="zh-CN" w:bidi="ar-SA"/>
        </w:rPr>
        <w:t>预算审核办法</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财务处向院长提交学院收支综合预算及部门经费预算建议方案，经院长办公会讨论后，提交院党委会研究审定后上报主管部门，并通过主管部门向社会公开。各部门在年度预算执行中，原则上不予调整。</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第十二条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学院财务决算是根据预算执行结果编制的年度报告，由主管部门审核汇总后报财政部门审批。</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第四章  收入管理</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第十三条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收入是指学院开展教学、科研及其它活动依法取得的资金。包括财政补助收入、上级补助收入、事业收入、经营收入、院属单位上缴收入、其它收入等。</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第十四条 </w:t>
      </w:r>
      <w:r>
        <w:rPr>
          <w:rFonts w:hint="eastAsia" w:ascii="方正仿宋_GB2312" w:hAnsi="方正仿宋_GB2312" w:eastAsia="方正仿宋_GB2312" w:cs="方正仿宋_GB2312"/>
          <w:color w:val="2B2B2B"/>
          <w:kern w:val="0"/>
          <w:sz w:val="32"/>
          <w:szCs w:val="32"/>
          <w:lang w:val="en-US" w:eastAsia="zh-CN" w:bidi="ar-SA"/>
        </w:rPr>
        <w:t>各项收入的取得，应当符合国家有关政策和规定，各项收费必须严格执行国家规定的收费项目、范围和标准，并使用符合国家规定的合法票据；各项收入必须全部纳入学院预算，由财务处统一收取、统一管理，统一核算，及时入账，任何单位和个人不得转移收入、私自收取和私设“小金库”。各部门对本部门负责经济事项履行收款义务，做到应收尽收，对年度应收未收款项扣减下一年度预算额度，并追究相关人员责任。对按照规定应上缴国库或财政专户的资金，应及时足额上缴。</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第五章  支出管理</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第十五条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支</w:t>
      </w:r>
      <w:r>
        <w:rPr>
          <w:rFonts w:hint="eastAsia" w:ascii="方正仿宋_GB2312" w:hAnsi="方正仿宋_GB2312" w:eastAsia="方正仿宋_GB2312" w:cs="方正仿宋_GB2312"/>
          <w:color w:val="2B2B2B"/>
          <w:kern w:val="0"/>
          <w:sz w:val="32"/>
          <w:szCs w:val="32"/>
          <w:lang w:val="en-US" w:eastAsia="zh-CN" w:bidi="ar-SA"/>
        </w:rPr>
        <w:t>出是指学院开展教学、科研及其他活动发生的各项资金耗费和损失。包括事业支出、经营支出、对附属单位补助支出、上缴上级支出、其他支出等。</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第十六条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经营支出应当与经营收入配比。</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第十七条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各部门要建立健全支出管理制度，严格按照批准的预算和有关规定审核办理，杜绝无预算、超预算支出。各项支出应当严格执行国家规定的开支范围和标准，保证人员经费和学院正常运转必需的开支。用于职工工资福利待遇方面的支出，应按有关规定执行，由院党委会集体决策；用于专项的支出，有专项资金使用要求的，按规定要求办理，没有专项资金使用要求的，应按照批准的项目和用途，由主办部门提出方案，事前编制预算，报院党委会研究批准后执行。</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支出审批程序参见学院《关于进一步加强财务报销工作的通知》、《山东旅游职业学院差旅费管理办法》等财务制度，详见《山东旅游职业学院财务管理手册》。</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全面启动公务卡结算方式，凡属公务卡强制消费目录内的支出项目，必须使用公务卡或转账结算。对应使用而不使用公务卡结算的支出项目，不办理报销。</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对政府采购范畴的采购内容，必须事先编报政府采购预算，严格执行《政府采购法》。</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报销票据须符合国家法律法规，不接受无效票据报销，经办人、部门负责人对票据真伪负责。</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第十八条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各</w:t>
      </w:r>
      <w:r>
        <w:rPr>
          <w:rFonts w:hint="eastAsia" w:ascii="方正仿宋_GB2312" w:hAnsi="方正仿宋_GB2312" w:eastAsia="方正仿宋_GB2312" w:cs="方正仿宋_GB2312"/>
          <w:color w:val="2B2B2B"/>
          <w:kern w:val="0"/>
          <w:sz w:val="32"/>
          <w:szCs w:val="32"/>
          <w:lang w:val="en-US" w:eastAsia="zh-CN" w:bidi="ar-SA"/>
        </w:rPr>
        <w:t>部门预算经费超支不补，结转结余按规定使用。其中经营节余应当单独反映，经营收支节余可以按照国家有关规定弥补以前年度经营亏损，其余部分并入学院节余；学院节余可以作为事业基金用于弥补以后年度收支差额；国家另有规定的，按其规定执行。</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第六章  专用基金管理</w:t>
      </w:r>
    </w:p>
    <w:p>
      <w:pPr>
        <w:pStyle w:val="9"/>
        <w:spacing w:before="0" w:beforeAutospacing="0" w:after="0" w:afterAutospacing="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    第十九条 </w:t>
      </w:r>
      <w:r>
        <w:rPr>
          <w:rFonts w:hint="eastAsia" w:ascii="方正仿宋_GB2312" w:hAnsi="方正仿宋_GB2312" w:eastAsia="方正仿宋_GB2312" w:cs="方正仿宋_GB2312"/>
          <w:color w:val="2B2B2B"/>
          <w:kern w:val="0"/>
          <w:sz w:val="32"/>
          <w:szCs w:val="32"/>
          <w:lang w:val="en-US" w:eastAsia="zh-CN" w:bidi="ar-SA"/>
        </w:rPr>
        <w:t>专用基金是指学院按照规定提取和设置的有专门用途的资金。</w:t>
      </w:r>
    </w:p>
    <w:p>
      <w:pPr>
        <w:pStyle w:val="9"/>
        <w:spacing w:before="0" w:beforeAutospacing="0" w:after="0" w:afterAutospacing="0"/>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第二十条</w:t>
      </w:r>
      <w:r>
        <w:rPr>
          <w:rFonts w:hint="eastAsia" w:ascii="方正仿宋_GB2312" w:hAnsi="方正仿宋_GB2312" w:eastAsia="方正仿宋_GB2312" w:cs="方正仿宋_GB2312"/>
          <w:color w:val="2B2B2B"/>
          <w:kern w:val="0"/>
          <w:sz w:val="32"/>
          <w:szCs w:val="32"/>
          <w:lang w:val="en-US" w:eastAsia="zh-CN" w:bidi="ar-SA"/>
        </w:rPr>
        <w:t xml:space="preserve"> 专</w:t>
      </w:r>
      <w:r>
        <w:rPr>
          <w:rFonts w:hint="eastAsia" w:ascii="方正仿宋_GB2312" w:hAnsi="方正仿宋_GB2312" w:eastAsia="方正仿宋_GB2312" w:cs="方正仿宋_GB2312"/>
          <w:color w:val="2B2B2B"/>
          <w:kern w:val="0"/>
          <w:sz w:val="32"/>
          <w:szCs w:val="32"/>
          <w:lang w:val="en-US" w:eastAsia="zh-CN" w:bidi="ar-SA"/>
        </w:rPr>
        <w:t>用基金包括修购基金、职工福利基金、学生奖助基金等。</w:t>
      </w:r>
    </w:p>
    <w:p>
      <w:pPr>
        <w:pStyle w:val="9"/>
        <w:spacing w:before="0" w:beforeAutospacing="0" w:after="0" w:afterAutospacing="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修购基金是按照预算外资金收入、事业及经营等收入的一定比例提取，在修缮费和设备购置费中列支，以及按照其它规定转入，用于固定资产维修和购置的资金。</w:t>
      </w:r>
    </w:p>
    <w:p>
      <w:pPr>
        <w:pStyle w:val="9"/>
        <w:spacing w:before="0" w:beforeAutospacing="0" w:after="0" w:afterAutospacing="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职工福利基金，即按照非财政拨款结余的一定比例提取以及按照其他规定提取转入，用于单位职工的集体福利设施、集体福利待遇等的资金。</w:t>
      </w:r>
    </w:p>
    <w:p>
      <w:pPr>
        <w:pStyle w:val="9"/>
        <w:spacing w:before="0" w:beforeAutospacing="0" w:after="0" w:afterAutospacing="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学生奖助基金，即按照国家有关规定，按照事业收入的一定比例提取，在事业支出的相关科目中列支，用于学费减免、勤工助学、校内无息借款、校内奖助学金和特殊困难补助等的资金。</w:t>
      </w:r>
    </w:p>
    <w:p>
      <w:pPr>
        <w:pStyle w:val="9"/>
        <w:spacing w:before="0" w:beforeAutospacing="0" w:after="0" w:afterAutospacing="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其他基金，即按照其他有关规定，根据事业发展需要提取或者设置的其他专用资金。</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第二十一条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各项基金的提取比例和管理办法，按照国家统一规定执行。</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第七章  资产管理</w:t>
      </w:r>
    </w:p>
    <w:p>
      <w:pPr>
        <w:pStyle w:val="9"/>
        <w:spacing w:before="0" w:beforeAutospacing="0" w:after="0" w:afterAutospacing="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    第二十二条</w:t>
      </w:r>
      <w:r>
        <w:rPr>
          <w:rFonts w:hint="eastAsia" w:ascii="黑体" w:hAnsi="黑体" w:eastAsia="黑体" w:cs="黑体"/>
          <w:color w:val="2B2B2B"/>
          <w:sz w:val="32"/>
          <w:szCs w:val="32"/>
        </w:rPr>
        <w:t xml:space="preserve"> </w:t>
      </w:r>
      <w:r>
        <w:rPr>
          <w:rFonts w:hint="eastAsia" w:ascii="方正仿宋_GB2312" w:hAnsi="方正仿宋_GB2312" w:eastAsia="方正仿宋_GB2312" w:cs="方正仿宋_GB2312"/>
          <w:color w:val="2B2B2B"/>
          <w:kern w:val="0"/>
          <w:sz w:val="32"/>
          <w:szCs w:val="32"/>
          <w:lang w:val="en-US" w:eastAsia="zh-CN" w:bidi="ar-SA"/>
        </w:rPr>
        <w:t>资产是指学院占有或者使用的能以货币计量的经济资源，包括各种财产、债权和其它权利。</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第二十三条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w:t>
      </w:r>
      <w:r>
        <w:rPr>
          <w:rFonts w:hint="eastAsia" w:ascii="方正仿宋_GB2312" w:hAnsi="方正仿宋_GB2312" w:eastAsia="方正仿宋_GB2312" w:cs="方正仿宋_GB2312"/>
          <w:color w:val="2B2B2B"/>
          <w:kern w:val="0"/>
          <w:sz w:val="32"/>
          <w:szCs w:val="32"/>
          <w:lang w:val="en-US" w:eastAsia="zh-CN" w:bidi="ar-SA"/>
        </w:rPr>
        <w:t>院的资产包括流动资产、固定资产、无形资产和对外投资等。</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第二十四条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流动资产是指可以在一年以内变现或者耗用的资产，包括现金、各种存款、应收及预付款项、零余额账户用款额度、存货等。</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存货是指学院在开展教学、科研及其它活动过程中为耗用而储存的资产，包括各类材料、燃料、消耗物资、低值易耗品等。</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第二十五条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流动资产管理</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（一）加强现金管理，保障现金安全，严格遵守有关现金管理的规定。不得白条抵库，坐支现金。现金管理岗位人员不得兼任稽核、会计档案保管和收入、支出、费用、债权债务账目的登记工作。</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二）加强银行存款管理，保障银行存款安全，严格遵守银行账户开设和使用的有关规定。不多头开户和私设账户，按期对帐，未达帐项及时清理。严格遵守预留银行印鉴和各种支票等银行单证的保管和使用规定，不开空头支票，未经部门申请和按规定程序批准，不得转出银行存款。银行预留印鉴，两人或两人以上分开保管。 </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（三）应收及暂付款项按月清理结算，超过6个月挂账期的，须经院长办公会、党委会批准。对确实无法收回的应收及暂付款项，要查明原因，分清责任，按规定程序批准后核销。</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加强存货管理。存货采购由部门提出存货采购计划，指明采购项目的品名、型号与规格、质量等级、生产厂家、数量、价格及到货时间要求，不能执行政府采购的，经主管部门负责人、分管院领导、院长批准后，财务审计处落实资金计划，交由学院指定部门或机构采购；部门一般不得自主采购，凡由部门自主采购者，需经院长批准。存货验收采用部门负责制，谁申请采购，谁主持验收，谁签字负责（重要存货采购采用专家验收制）。存货耗费采用领用人负责制，谁领用，谁签字，谁负责。存货保管采用岗位责任人负责制，谁保管，谁记账，谁盘点，谁负责，保证账实相符，保证采购、领用、库存相符，不能以购代报，不能超量采购，不能积压储存。存货按学期盘点清查，对存货的盘盈、盘亏要及时查明原因，分清责任，按规定程序报批，并及时进行账务处理。后勤仓库需设专职或兼职仓库保管员和材料会计，对存货实行购进、支出、结存登记；各直接耗费存货的基层部门，需设兼职财产物资管理员，建立存货购进、使用明细账，监督存货的购进和使用情况。</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第二十六条</w:t>
      </w:r>
      <w:r>
        <w:rPr>
          <w:rFonts w:hint="eastAsia" w:ascii="方正楷体_GB2312" w:hAnsi="方正楷体_GB2312" w:eastAsia="方正楷体_GB2312" w:cs="方正楷体_GB2312"/>
          <w:color w:val="2B2B2B"/>
          <w:kern w:val="0"/>
          <w:sz w:val="32"/>
          <w:szCs w:val="32"/>
          <w:lang w:val="en-US" w:eastAsia="zh-CN" w:bidi="ar-SA"/>
        </w:rPr>
        <w:t xml:space="preserve"> </w:t>
      </w:r>
      <w:r>
        <w:rPr>
          <w:rFonts w:hint="eastAsia" w:ascii="方正仿宋_GB2312" w:hAnsi="方正仿宋_GB2312" w:eastAsia="方正仿宋_GB2312" w:cs="方正仿宋_GB2312"/>
          <w:color w:val="2B2B2B"/>
          <w:kern w:val="0"/>
          <w:sz w:val="32"/>
          <w:szCs w:val="32"/>
          <w:lang w:val="en-US" w:eastAsia="zh-CN" w:bidi="ar-SA"/>
        </w:rPr>
        <w:t>固定资产管理</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（二）固定资产管理，按《山东旅游职业学院固定资产管理办法》实行。</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第二十七条 </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无形资产管理</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（一）无形资产是指不具有实物形态而能为使用者提供某种权利的资产，包括专利权、商标权、著作权、土地使用权、非专利技术、商誉以及其它财产权利。</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（二）无形资产管理，按国家有关规定及《山东旅游职业学院国有资产管理办法》执行。</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第二十八条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对外投资管理</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（一）对外投资是指学院利用货币资金、实物、无形资产等向校办企业和其他单位的投资。</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（二）对外投资管理，按国家有关规定执行。</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第八章  负债管理</w:t>
      </w:r>
    </w:p>
    <w:p>
      <w:pPr>
        <w:pStyle w:val="9"/>
        <w:spacing w:before="0" w:beforeAutospacing="0" w:after="0" w:afterAutospacing="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    第二十九条</w:t>
      </w:r>
      <w:r>
        <w:rPr>
          <w:rFonts w:hint="eastAsia" w:ascii="黑体" w:hAnsi="黑体" w:eastAsia="黑体" w:cs="黑体"/>
          <w:color w:val="2B2B2B"/>
          <w:sz w:val="32"/>
          <w:szCs w:val="32"/>
        </w:rPr>
        <w:t xml:space="preserve"> </w:t>
      </w:r>
      <w:r>
        <w:rPr>
          <w:rFonts w:hint="eastAsia" w:ascii="方正仿宋_GB2312" w:hAnsi="方正仿宋_GB2312" w:eastAsia="方正仿宋_GB2312" w:cs="方正仿宋_GB2312"/>
          <w:color w:val="2B2B2B"/>
          <w:kern w:val="0"/>
          <w:sz w:val="32"/>
          <w:szCs w:val="32"/>
          <w:lang w:val="en-US" w:eastAsia="zh-CN" w:bidi="ar-SA"/>
        </w:rPr>
        <w:t>负债是指学院所承担的能以货币计量，需以资产或劳务偿还的债务。</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学院的负债包括借入款、应付及预收款、应缴款项、代管款项等。</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应缴款项包括学院收取的应当上缴财政纳入预算的资金和应当上缴财政专户的预算外资金、应缴税金以及其他按照国家有关规定应当上缴的款项。</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代管款项是指学院接受委托代为管理的各类款项。</w:t>
      </w:r>
    </w:p>
    <w:p>
      <w:pPr>
        <w:pStyle w:val="9"/>
        <w:spacing w:before="0" w:beforeAutospacing="0" w:after="0" w:afterAutospacing="0"/>
        <w:jc w:val="center"/>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第三十一条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学院应当对不同性质的负债分别管理，及时清理并按照规定办理结算，会同相关业务部门采取措施，促使各项负债在规定期限内归还，降低或控制财务风险。</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第九章　票据管理</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第三十二条</w:t>
      </w:r>
      <w:r>
        <w:rPr>
          <w:rFonts w:hint="eastAsia"/>
          <w:sz w:val="28"/>
          <w:szCs w:val="28"/>
        </w:rPr>
        <w:t>　</w:t>
      </w:r>
      <w:r>
        <w:rPr>
          <w:rFonts w:hint="eastAsia" w:ascii="方正仿宋_GB2312" w:hAnsi="方正仿宋_GB2312" w:eastAsia="方正仿宋_GB2312" w:cs="方正仿宋_GB2312"/>
          <w:color w:val="2B2B2B"/>
          <w:kern w:val="0"/>
          <w:sz w:val="32"/>
          <w:szCs w:val="32"/>
          <w:lang w:val="en-US" w:eastAsia="zh-CN" w:bidi="ar-SA"/>
        </w:rPr>
        <w:t>为规范非税收入管理，加强宏观调控，根据《山东省非税收入管理条例》规定，学院各项收费必须使用财政部门统一印制的非税收入专用票据（经批准设立的独立核算单位或经营收入领用税务发票除外）。</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第三十三条</w:t>
      </w:r>
      <w:r>
        <w:rPr>
          <w:rFonts w:hint="eastAsia"/>
          <w:sz w:val="28"/>
          <w:szCs w:val="28"/>
        </w:rPr>
        <w:t>　</w:t>
      </w:r>
      <w:r>
        <w:rPr>
          <w:rFonts w:hint="eastAsia" w:ascii="方正仿宋_GB2312" w:hAnsi="方正仿宋_GB2312" w:eastAsia="方正仿宋_GB2312" w:cs="方正仿宋_GB2312"/>
          <w:color w:val="2B2B2B"/>
          <w:kern w:val="0"/>
          <w:sz w:val="32"/>
          <w:szCs w:val="32"/>
          <w:lang w:val="en-US" w:eastAsia="zh-CN" w:bidi="ar-SA"/>
        </w:rPr>
        <w:t>财务审计处专门配备票据管理员负责票据的领购、保管、缴销和审核工作（经批准设立的独立核算单位领用税务发票除外），任何单位和个人不得自购、自制和伪造票据。</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第三十四条</w:t>
      </w:r>
      <w:r>
        <w:rPr>
          <w:rFonts w:hint="eastAsia"/>
          <w:sz w:val="28"/>
          <w:szCs w:val="28"/>
        </w:rPr>
        <w:t>　</w:t>
      </w:r>
      <w:r>
        <w:rPr>
          <w:rFonts w:hint="eastAsia" w:ascii="方正仿宋_GB2312" w:hAnsi="方正仿宋_GB2312" w:eastAsia="方正仿宋_GB2312" w:cs="方正仿宋_GB2312"/>
          <w:color w:val="2B2B2B"/>
          <w:kern w:val="0"/>
          <w:sz w:val="32"/>
          <w:szCs w:val="32"/>
          <w:lang w:val="en-US" w:eastAsia="zh-CN" w:bidi="ar-SA"/>
        </w:rPr>
        <w:t>收费人员在启用非税收入票据前，应检查票据有无缺联、缺号、重号等情况，一经发现，应及时报告财务审计处并由其处理。非税收入票据必须按顺序填写，不得拆本使用。票据填写必须字迹清楚、内容完整、印章齐全，各联次内容和金额一致。如填写错误，应另行填写。收费单位因填写错误或因缴款义务人不按时缴款而作废的非税收入票据，应当加盖作废戳记或注明“作废”字样，并完整保存其各联，不得私自销毁。</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第三十五条</w:t>
      </w:r>
      <w:r>
        <w:rPr>
          <w:rFonts w:hint="eastAsia"/>
          <w:sz w:val="28"/>
          <w:szCs w:val="28"/>
        </w:rPr>
        <w:t>　</w:t>
      </w:r>
      <w:r>
        <w:rPr>
          <w:rFonts w:hint="eastAsia" w:ascii="方正仿宋_GB2312" w:hAnsi="方正仿宋_GB2312" w:eastAsia="方正仿宋_GB2312" w:cs="方正仿宋_GB2312"/>
          <w:color w:val="2B2B2B"/>
          <w:kern w:val="0"/>
          <w:sz w:val="32"/>
          <w:szCs w:val="32"/>
          <w:lang w:val="en-US" w:eastAsia="zh-CN" w:bidi="ar-SA"/>
        </w:rPr>
        <w:t>收费人员已开具的非税收入票据存根，交财务审计处专门配备的票据管理员，由其妥善保管，保管期一般为10年。保存期满需要销毁的非税收入票据存根，由财务审计处登记造册向有关部门报告，经核准后销毁。</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第三十六条</w:t>
      </w:r>
      <w:r>
        <w:rPr>
          <w:rFonts w:hint="eastAsia"/>
          <w:sz w:val="28"/>
          <w:szCs w:val="28"/>
        </w:rPr>
        <w:t>　</w:t>
      </w:r>
      <w:r>
        <w:rPr>
          <w:rFonts w:hint="eastAsia" w:ascii="方正仿宋_GB2312" w:hAnsi="方正仿宋_GB2312" w:eastAsia="方正仿宋_GB2312" w:cs="方正仿宋_GB2312"/>
          <w:color w:val="2B2B2B"/>
          <w:kern w:val="0"/>
          <w:sz w:val="32"/>
          <w:szCs w:val="32"/>
          <w:lang w:val="en-US" w:eastAsia="zh-CN" w:bidi="ar-SA"/>
        </w:rPr>
        <w:t>学院各部门发生的所有非税收入，必须开具非税收入专用票据，不得隐瞒其非税收入。禁止使用非法票据或者不按规定开具非税收入专用票据。</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第三十七条</w:t>
      </w:r>
      <w:r>
        <w:rPr>
          <w:rFonts w:hint="eastAsia"/>
          <w:sz w:val="28"/>
          <w:szCs w:val="28"/>
        </w:rPr>
        <w:t>　</w:t>
      </w:r>
      <w:r>
        <w:rPr>
          <w:rFonts w:hint="eastAsia" w:ascii="方正仿宋_GB2312" w:hAnsi="方正仿宋_GB2312" w:eastAsia="方正仿宋_GB2312" w:cs="方正仿宋_GB2312"/>
          <w:color w:val="2B2B2B"/>
          <w:kern w:val="0"/>
          <w:sz w:val="32"/>
          <w:szCs w:val="32"/>
          <w:lang w:val="en-US" w:eastAsia="zh-CN" w:bidi="ar-SA"/>
        </w:rPr>
        <w:t>任何单位和个人不得出借、转让或代开非税收入专用票据。</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第三十八条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建立内部缴验制度，由专人负责核对收费票据开出的金额与财务入帐金额，确保做到票款一致。</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第十章  财务报告和财务分析</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第三十九条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财务报告是反映学院一定时期财务状况和事业发展成果的总结性书面文件。学院按照国家预算支出分类和管理权限定期向各有关主管部门和财政部门以及其他有关的报表使用者提供财务报告。每学期未，向院长办公会和院党委会集中汇报学期财务运行情况和部门预算执行情况。</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第四十条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学院报送的年度财务报告包括资产负债表、收入支出表、事业支出明细表。</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第十一章  财务监督</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第四十一条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财务监督是贯彻国家法律、法规和规章制度，维护财经纪律的保证。学院自觉接受财政、审计、物价、纪检部门的财务监督，对学院的各项收入，严格实行“收支两条线”管理，不准私设“小金库”。</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第四十二条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学院建立健全内部稽核制度、内部审计制度和岗位责任制等内部控制制度与监督制度，依法确保财务监督的实施。</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1、一般经费支出，须有经办人、部门负责人、分管院领导、院长签批，经财务稽核人员核对事由、预算、票据、金额无误后，由出纳付款。</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2、银行存款转账支出或提现，除须经办人、部门负责人、分管院领导、院长、稽核员签字外，预留银行印鉴须两人分开保管并同时盖章后方可转账或提现。</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3、存货采购支出、固定资产购建支出、专项维修支出、基建支出等（一次性支出1000元以上须采用银行转帐方式），须有申请、验</w:t>
      </w:r>
      <w:r>
        <w:rPr>
          <w:rFonts w:hint="eastAsia" w:ascii="方正仿宋_GB2312" w:hAnsi="方正仿宋_GB2312" w:eastAsia="方正仿宋_GB2312" w:cs="方正仿宋_GB2312"/>
          <w:color w:val="2B2B2B"/>
          <w:kern w:val="0"/>
          <w:sz w:val="32"/>
          <w:szCs w:val="32"/>
          <w:lang w:val="en-US" w:eastAsia="zh-CN" w:bidi="ar-SA"/>
        </w:rPr>
        <w:t>收审批手续。按《山东旅游职业学院国有资产管理办法》、《山东旅游职业学院工程建设项目管理办法》规定的程序办理。</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第四十三条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学院的财务监督包括事前监督、事中监督和事后监督三种形式。财务监督与纪检审计监督、群众监督、上级监督、国家监督相结合。</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第四十四条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财务人员要严格遵守国家的财务制度和财经纪律，依法行使职权，认真加强会计监督，对不真实、不合法的会计事项，不予受理；对不正确、不完善的报帐票据，予以退回，要求更正补充；对违反国家财纪法规的行为，有权提出意见并向院领导、上级主管部门和其它有关部门反映。</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第四十五条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学院主要以资本为纽带，按现代企业制度模式，对院属实体、独立法人企业等实施监督和控制。</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第十二章  附 则</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第四十六条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独立核算的院办企业的财务管理执行《企业财务通则》和同行业或者相近行业的企业财务制度。</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第四十七条</w:t>
      </w:r>
      <w:r>
        <w:rPr>
          <w:rFonts w:hint="eastAsia" w:ascii="方正仿宋_GB2312" w:hAnsi="方正仿宋_GB2312" w:eastAsia="方正仿宋_GB2312" w:cs="方正仿宋_GB2312"/>
          <w:color w:val="2B2B2B"/>
          <w:kern w:val="0"/>
          <w:sz w:val="32"/>
          <w:szCs w:val="32"/>
          <w:lang w:val="en-US" w:eastAsia="zh-CN" w:bidi="ar-SA"/>
        </w:rPr>
        <w:t xml:space="preserve"> 本办法由学院财务审计处负责解释。</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第四十八条</w:t>
      </w:r>
      <w:r>
        <w:rPr>
          <w:rFonts w:hint="eastAsia"/>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本办法自下发之日起实行。</w:t>
      </w:r>
    </w:p>
    <w:p>
      <w:pPr>
        <w:pStyle w:val="9"/>
        <w:spacing w:before="0" w:beforeAutospacing="0" w:after="0" w:afterAutospacing="0"/>
        <w:ind w:firstLine="640" w:firstLineChars="200"/>
        <w:jc w:val="both"/>
        <w:rPr>
          <w:rStyle w:val="13"/>
          <w:rFonts w:hint="eastAsia" w:ascii="方正小标宋简体" w:hAnsi="方正小标宋简体" w:eastAsia="方正小标宋简体" w:cs="方正小标宋简体"/>
          <w:b/>
          <w:bCs/>
          <w:color w:val="2B2B2B"/>
          <w:kern w:val="0"/>
          <w:sz w:val="44"/>
          <w:szCs w:val="44"/>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br w:type="page"/>
      </w:r>
      <w:r>
        <w:rPr>
          <w:rStyle w:val="13"/>
          <w:rFonts w:hint="eastAsia" w:ascii="方正小标宋简体" w:hAnsi="方正小标宋简体" w:eastAsia="方正小标宋简体" w:cs="方正小标宋简体"/>
          <w:b/>
          <w:bCs/>
          <w:color w:val="2B2B2B"/>
          <w:kern w:val="0"/>
          <w:sz w:val="44"/>
          <w:szCs w:val="44"/>
          <w:lang w:val="en-US" w:eastAsia="zh-CN" w:bidi="ar-SA"/>
        </w:rPr>
        <w:t>山东旅游职业学院预算管理办法</w:t>
      </w:r>
    </w:p>
    <w:p>
      <w:pPr>
        <w:widowControl/>
        <w:ind w:firstLine="560" w:firstLineChars="200"/>
        <w:rPr>
          <w:rFonts w:hint="eastAsia" w:ascii="宋体" w:hAnsi="宋体"/>
          <w:sz w:val="28"/>
          <w:szCs w:val="28"/>
        </w:rPr>
      </w:pP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为提高资金使用效率，扩大系部、中心办学的自主权，增强系部、中心的办学活力，增强责任感和当家理财的主人翁意识，根据《中华</w:t>
      </w:r>
      <w:r>
        <w:rPr>
          <w:rFonts w:hint="eastAsia" w:ascii="方正仿宋_GB2312" w:hAnsi="方正仿宋_GB2312" w:eastAsia="方正仿宋_GB2312" w:cs="方正仿宋_GB2312"/>
          <w:color w:val="2B2B2B"/>
          <w:kern w:val="0"/>
          <w:sz w:val="32"/>
          <w:szCs w:val="32"/>
          <w:lang w:val="en-US" w:eastAsia="zh-CN" w:bidi="ar-SA"/>
        </w:rPr>
        <w:t>人民共和国预算法》、《事业单位财务制度》，结合学院实际，制定本办法。</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 xml:space="preserve">一、预算管理体制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第一条  </w:t>
      </w:r>
      <w:r>
        <w:rPr>
          <w:rFonts w:hint="eastAsia" w:ascii="方正仿宋_GB2312" w:hAnsi="方正仿宋_GB2312" w:eastAsia="方正仿宋_GB2312" w:cs="方正仿宋_GB2312"/>
          <w:color w:val="2B2B2B"/>
          <w:kern w:val="0"/>
          <w:sz w:val="32"/>
          <w:szCs w:val="32"/>
          <w:lang w:val="en-US" w:eastAsia="zh-CN" w:bidi="ar-SA"/>
        </w:rPr>
        <w:t>学院实行统一编制预决算、分级分类管理、强化财务监督和效益评价的管理体制。</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第二条  </w:t>
      </w:r>
      <w:r>
        <w:rPr>
          <w:rFonts w:hint="eastAsia" w:ascii="方正仿宋_GB2312" w:hAnsi="方正仿宋_GB2312" w:eastAsia="方正仿宋_GB2312" w:cs="方正仿宋_GB2312"/>
          <w:color w:val="2B2B2B"/>
          <w:kern w:val="0"/>
          <w:sz w:val="32"/>
          <w:szCs w:val="32"/>
          <w:lang w:val="en-US" w:eastAsia="zh-CN" w:bidi="ar-SA"/>
        </w:rPr>
        <w:t xml:space="preserve">党委会及院长办公会是学院预决算管理的决策机构，依照国家有关政策法规和上级要求，组织学院预决算编制，审查学院预算草案及调整方案，组织监督预算执行，审查学院的决算报告。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第三条  </w:t>
      </w:r>
      <w:r>
        <w:rPr>
          <w:rFonts w:hint="eastAsia" w:ascii="方正仿宋_GB2312" w:hAnsi="方正仿宋_GB2312" w:eastAsia="方正仿宋_GB2312" w:cs="方正仿宋_GB2312"/>
          <w:color w:val="2B2B2B"/>
          <w:kern w:val="0"/>
          <w:sz w:val="32"/>
          <w:szCs w:val="32"/>
          <w:lang w:val="en-US" w:eastAsia="zh-CN" w:bidi="ar-SA"/>
        </w:rPr>
        <w:t xml:space="preserve">财务审计处和各业务主管部门是学院预算管理的执行部门。财务审计处负责院级预算指标的分配、预算执行中的控制、监督和会计核算，纠正违反预算管理的行为，必要时提交纪检部门查处。各业务主管部门负责本部门财务收支预算并监督预算执行。 </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 xml:space="preserve">二、预算编制原则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实行统一领导、权责结合，量入为出、收支平衡，统筹兼顾、保证重点、勤俭节约的经费预算原则。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第五条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坚持支出预算适度，优先安排人员经费(包括工资、技能工资、学生奖助学金)和正常运行经费等刚性支出，统筹安排发展项目经费。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第六条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学院经费支出预算中预留一定的机动费，用于解决预算不能预测的特殊资金需求，安排比例参照当年学院的重点建设计划确定。各单位预算经费实行超支不补、节余留用的政策。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第七条  </w:t>
      </w:r>
      <w:r>
        <w:rPr>
          <w:rFonts w:hint="eastAsia" w:ascii="方正仿宋_GB2312" w:hAnsi="方正仿宋_GB2312" w:eastAsia="方正仿宋_GB2312" w:cs="方正仿宋_GB2312"/>
          <w:color w:val="2B2B2B"/>
          <w:kern w:val="0"/>
          <w:sz w:val="32"/>
          <w:szCs w:val="32"/>
          <w:lang w:val="en-US" w:eastAsia="zh-CN" w:bidi="ar-SA"/>
        </w:rPr>
        <w:t>本着实事求是、准确、完整、及时的原则编制经费决算，客观评估学院资金使用情况。按照收支两条线的原则，处室、系部、中心开展各种教学、科研、校企合作、社会服务等活动取得的收入要全额纳入学院帐户，由财务审计处按照有关规定对所有资金实行集中管理。严禁各部门另设账户、账目，“坐收坐支”。</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 xml:space="preserve">三、预算编制程序 </w:t>
      </w:r>
    </w:p>
    <w:p>
      <w:pPr>
        <w:pStyle w:val="9"/>
        <w:spacing w:before="0" w:beforeAutospacing="0" w:after="0" w:afterAutospacing="0"/>
        <w:ind w:firstLine="640" w:firstLineChars="200"/>
        <w:jc w:val="both"/>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第八条  </w:t>
      </w:r>
      <w:r>
        <w:rPr>
          <w:rFonts w:hint="eastAsia" w:ascii="方正仿宋_GB2312" w:hAnsi="方正仿宋_GB2312" w:eastAsia="方正仿宋_GB2312" w:cs="方正仿宋_GB2312"/>
          <w:color w:val="2B2B2B"/>
          <w:kern w:val="0"/>
          <w:sz w:val="32"/>
          <w:szCs w:val="32"/>
          <w:lang w:val="en-US" w:eastAsia="zh-CN" w:bidi="ar-SA"/>
        </w:rPr>
        <w:t>各部门预算编制采取“二上二下”的程序。每年9月底前编制本部门下年度业务计划和经费预算，并报财务</w:t>
      </w:r>
      <w:r>
        <w:rPr>
          <w:rFonts w:hint="eastAsia" w:ascii="方正楷体_GB2312" w:hAnsi="方正楷体_GB2312" w:eastAsia="方正楷体_GB2312" w:cs="方正楷体_GB2312"/>
          <w:color w:val="2B2B2B"/>
          <w:kern w:val="0"/>
          <w:sz w:val="32"/>
          <w:szCs w:val="32"/>
          <w:lang w:val="en-US" w:eastAsia="zh-CN" w:bidi="ar-SA"/>
        </w:rPr>
        <w:t>处</w:t>
      </w:r>
      <w:r>
        <w:rPr>
          <w:rFonts w:hint="eastAsia" w:ascii="方正仿宋_GB2312" w:hAnsi="方正仿宋_GB2312" w:eastAsia="方正仿宋_GB2312" w:cs="方正仿宋_GB2312"/>
          <w:color w:val="2B2B2B"/>
          <w:kern w:val="0"/>
          <w:sz w:val="32"/>
          <w:szCs w:val="32"/>
          <w:lang w:val="en-US" w:eastAsia="zh-CN" w:bidi="ar-SA"/>
        </w:rPr>
        <w:t>，经财务处汇总，并制定</w:t>
      </w:r>
      <w:r>
        <w:rPr>
          <w:rFonts w:hint="eastAsia" w:ascii="方正仿宋_GB2312" w:hAnsi="方正仿宋_GB2312" w:eastAsia="方正仿宋_GB2312" w:cs="方正仿宋_GB2312"/>
          <w:color w:val="2B2B2B"/>
          <w:kern w:val="0"/>
          <w:sz w:val="32"/>
          <w:szCs w:val="32"/>
          <w:lang w:val="en-US" w:eastAsia="zh-CN" w:bidi="ar-SA"/>
        </w:rPr>
        <w:t>学院</w:t>
      </w:r>
      <w:r>
        <w:rPr>
          <w:rFonts w:hint="eastAsia" w:ascii="方正仿宋_GB2312" w:hAnsi="方正仿宋_GB2312" w:eastAsia="方正仿宋_GB2312" w:cs="方正仿宋_GB2312"/>
          <w:color w:val="2B2B2B"/>
          <w:kern w:val="0"/>
          <w:sz w:val="32"/>
          <w:szCs w:val="32"/>
          <w:lang w:val="en-US" w:eastAsia="zh-CN" w:bidi="ar-SA"/>
        </w:rPr>
        <w:t xml:space="preserve">整体预算。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第九条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按照上级下达的经费指标和学院资金的收入情况以及国家的有关法规，财务处在省级预算下达后的20个工作日内完成学院预算编制方案，下达给各部门。</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第十条  </w:t>
      </w:r>
      <w:r>
        <w:rPr>
          <w:rFonts w:hint="eastAsia" w:ascii="方正仿宋_GB2312" w:hAnsi="方正仿宋_GB2312" w:eastAsia="方正仿宋_GB2312" w:cs="方正仿宋_GB2312"/>
          <w:color w:val="2B2B2B"/>
          <w:kern w:val="0"/>
          <w:sz w:val="32"/>
          <w:szCs w:val="32"/>
          <w:lang w:val="en-US" w:eastAsia="zh-CN" w:bidi="ar-SA"/>
        </w:rPr>
        <w:t xml:space="preserve">各部门按照财务处下达的控制指标，编制经费预算方案，报财务处。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第十一条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根据学院发展计划和综合财力，在汇总、调研的基础上，结合上一年度预算的执行情况和各业务部门的收支计划提出最终的院级预算方案，提交院长办公会研究，报院党委会讨论决定后执行。</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四、预算收支范围</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第十二条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学院的预算收入范围，包括以下几个部分：财政补助收入、事业收入、上级补助收入、经营收入、其他收入等。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（一）财政补助收入，即从省级财政部门取得的各类财政拨款。包括：</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1、财政教育拨款，即从省财政部门取得的各类财政教育拨款。</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2、财政科研拨款，即从省财政部门取得的各类财政科研拨款。</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3、财政其他拨款，即从省财政部门取得的本条上述拨款范围以外的财政拨款。</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（二）事业收入，即开展教学、科研及其辅助活动取得的收入。包括：</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1、教育事业收入，指开展教学及其辅助活动所取得的收入，包括：通过学历和非学历教育向学生个人或者单位收取的学费、住宿费、委托培养费、考试考务费、培训费和其他教育事业收入。</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按照国家有关规定应当上缴国库或者财政专户的资金，不计入教育事业收入；从财政专户核拨给学院的资金和经核准不上缴国库或财政专户的资金，计入教育事业收入。</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科研事业收入，指开展科研及其辅助活动所取得的收入，包括：通过承接科研项目、开展科研协作、转化科技成果、进行科技咨询等取得的收入。科研事业收入不包括按照部门预算隶属关系从同级财政部门取得的财政拨款。</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（三）上级补助收入，即从主管部门和上级单位取得的非财政补助收入。</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（四）附属单位上缴收入，即学院附属独立核算单位按照有关规定上缴的收入。</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（五）经营收入，即学院在教学、科研及其辅助活动之外，开展非独立核算经营活动取得的收入。</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（六）其他收入，即本条上述规定范围以外的各项收入，包括投资收益、利息收入、捐赠收入等。</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第十三条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预算支出范围包括事业支出、经营支出、上缴上级支出、对附属单位补助支出、其他支出。其中事业支出是指开展教学、科研及其辅助活动发生的基本支出和项目支出，主要包括人员经费、公用经费和离退休经费。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(一)人员经费：依据当年学院在职人员编制预算。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1、档案工资：职务工资和津贴、正常晋档工资、增人增资工资、职称职务兑现工资、提前晋档工资、文明单位奖励工资等。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2、技能工资：年终1个月奖励工资、课时费、坐班费、监考费、考试费等。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3、职工福利费：福利费、工会经费、住房公积金、失业保险金、医疗费、独生子女费等。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4、学生奖助经费。用于学费减免、勤工助学、院内无息借款、院内奖助学金和特殊困难补助等的资金，一般按当年事业收入5%的比例安排。</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(二)公用经费</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公用经费包含日常公用经费和项目支出两部分。</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1、公用经费</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教学单位公用经费是为完成教学业务活动所需的消耗性费用开支和购置的低值易耗品开支，主要包括教学实验购置的工器具等低值易耗品及原材料费用、办公费、印刷费、学习考察费、会议费、实习实训费、实习管理费、场地租赁费、图书资料费、邮电费、临时出国人员费用等；差旅费（含外宾外教差旅费）；教学仪器设备维修费；学生活动经费等。</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行政部门公用经费是学院用于日常行政管理及有关公务活动的费用，包括办公费、邮电费、水电费、差旅费、宣传费、招待费、维修费、交通费、机动车燃料及保险费、会议费、绿化卫生费、物业管理费等。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2、项目支出</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设备购置费：学院用于购置的按固定资产管理的设备、交通工具、图书等所发生的费用，包括车辆购置及其附加费、教学、科研仪器设备购置费，一般设备购置费、图书购置费等。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科研事业费：用于核算学院为完成所承担的科研任务发生的费用支出。主要包括院级课题经费、科研人员奖励经费等。</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基本建设费。主要指学院内达到基本建设标准的房屋建筑物构建、土地购置、修缮工程支出及基本建设工程累计欠款偿付。</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招生就业费。用于学院招生宣传费、宣传用品设计印刷费、招生人员差旅费、录取费、劳务费、证书费、档案管理费、邮寄费等方面。</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专项经费：依据学院当年重点工作和发展需要确定。专项经费包括偿还银行贷款、贷款利息、科研配套经费、人才引进费用、重点学科建设费、学术交流经费、实训室建设经费、机动费、项目配套费等。</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其他拨款经费：用于其他经费拨款或专项经费拨款所发生的费用支出。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(三)离退休经费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按国家规定支出的离退休人员的人员经费和公用经费。    </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 xml:space="preserve">五、预算编制办法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第十四条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预算采取按项目切块分割、权重分配份额、分类控制使用的方法。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第十五条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人员经费支出预算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人员经费包括职工工资和学生奖助经费。人员经费支出预算，以上年决算为依据，按在职职工实有人数，同时考虑政策性工资调整、晋职、提前工资晋档、新进人员工资、院内津贴等逐项核算。 </w:t>
      </w:r>
    </w:p>
    <w:p>
      <w:pPr>
        <w:widowControl/>
        <w:ind w:firstLine="640" w:firstLineChars="200"/>
        <w:rPr>
          <w:rFonts w:hint="eastAsia" w:ascii="宋体" w:hAnsi="宋体" w:cs="宋体"/>
          <w:color w:val="333333"/>
          <w:kern w:val="0"/>
          <w:sz w:val="28"/>
          <w:szCs w:val="28"/>
        </w:rPr>
      </w:pPr>
      <w:r>
        <w:rPr>
          <w:rFonts w:hint="eastAsia" w:ascii="方正仿宋_GB2312" w:hAnsi="方正仿宋_GB2312" w:eastAsia="方正仿宋_GB2312" w:cs="方正仿宋_GB2312"/>
          <w:color w:val="2B2B2B"/>
          <w:kern w:val="0"/>
          <w:sz w:val="32"/>
          <w:szCs w:val="32"/>
          <w:lang w:val="en-US" w:eastAsia="zh-CN" w:bidi="ar-SA"/>
        </w:rPr>
        <w:t>学生奖助经费按上级及学院的有关规定和标准核算。</w:t>
      </w:r>
      <w:r>
        <w:rPr>
          <w:rFonts w:hint="eastAsia" w:ascii="宋体" w:hAnsi="宋体" w:cs="宋体"/>
          <w:color w:val="000000"/>
          <w:kern w:val="0"/>
          <w:sz w:val="28"/>
          <w:szCs w:val="28"/>
        </w:rPr>
        <w:t xml:space="preserve">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第十六条 </w:t>
      </w:r>
      <w:r>
        <w:rPr>
          <w:rFonts w:hint="eastAsia" w:ascii="宋体" w:hAnsi="宋体" w:cs="宋体"/>
          <w:bCs/>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公用经费支出预算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每年公用经费支出预算，在考虑总收入和人员经费、基本保障经费及重点专项经费支出预算前提下进行。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xml:space="preserve">（一）教学及部门公用经费的预算。 </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公用经费一般按当年所收学生学费的20%预算。教学公用经费一般按公用经费的60％安排预算，行政部门公用经费按40％安排预算。</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公用经费预算办法：各教学单位公用经费核定方法为经费额度=实际在院生人数*调节系数*生均定额标准*学生缴费比率。财务处根据近三年学院公用经费实际支出，结合平均在校生人数及学院实际测算制定定额标准。非校企合作办学艺术类专业及营养烹饪系烹饪类专业生均定额调节系数为1.2，校企合作办学艺术类专业调节系数为1.0；其他专业生均定额调节系数为1.0；没有学生的单位，调节系数为0.6，学生缴费比率按全院平均值确定，师生比按国家规定1:18确定。承担公共基础课教学的单位，除按本单位实有学生数为基础确定一部分经费外，其余部分经费参照没有学生的单位确定，即（本单位教职工人数-本单位学生数÷学院平均师生比）×18×0.6×生均定额标准。行政职能部门公用经费预算办法，根据本部门的在职人数和工作职能确定运行经费总额，运行经费由行政办公费、职能专项经费组成。行政办公费按单位基数+单位人数*人均定额确定,行政办公费原则上只减不增，单位基数以及人均定额标准每年单独确定。职能专项经费由各单位根据本部门的工作职能和学院的年度工作计划安排，提出书面报告，经院领导同意后报财务处。财务处根据学校事业发展需要与财力的可能，在综合平衡的基础上，确定各单位的职能专项经费。</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系部、中心公用经费专项用于系部、中心日常教学管理活动、办公用品及办公耗材购置、教职工会议及差旅、教学设备日常维修、实训教学原料及耗材、学生活动、交通费等方面。</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行政办公费主要用于日常办公所需办公用品费用、邮电费、市内交通费、差旅费、会议费等方面。</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各单位公用经费不得自行用于招待方面，确有招待事项的，须向学院办公室提出申请，经批准后执行；年度招待费用不得超过公用经费的2%。教学单位用于差旅费支出不得超过本单位经费总额的15％。</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水电费、交通费、物业管理费、取暖费、日常用燃料费、机动车保险费、维修费以及绿化养护费的预算，依据上年度支出决算数，经总务处测算，并考虑当年新增用水用电量、供暖面积及规定价格安排预算。凡由总务处统一安排采购的货物、服务等，由总务处分头确认费用，由接受货物或服务单位负责人签字认可。</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（三）项目经费的预算，依据学院当年重点工作和发展需要，确定专项经费项目和额度。各单位除公用经费之外的其他支出均列入项目支出预算。</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教学业务经费，包括教学日常运行支出和教学改革支出，主要用于考务、教学质量体系建设、课程建设、专业建设、教材建设、实训条件建设、体育维持费等方面。教学业务经费由教务处统筹，会同相关部门，于每年9月20日前将下年度预算报财务审计处。</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资产采购预算列为专项支出，各单位于每年9月20日前将下年度资产采购预算报送财务审计处，经汇总后，报党委会或院长办公会研究确定，列入下年度政府采购预算。</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科研经费，一部分为当年纵向、横向课题安排的科研项目经费；一部分为学院安排的院级重点课题经费、科研奖励经费。</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基本建设支出预算，每年9月20日前由基建处会同相关单位根据学院总体规划提出意见，经院长办公会和院党委批准(需报上级主管部门批准的项目，待上级主管部门批准)后执行。</w:t>
      </w:r>
    </w:p>
    <w:p>
      <w:pPr>
        <w:widowControl/>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招生就业支出预算，包含招生差旅费、印刷费、宣传费、网站维护费、加（值）班费、邮电费、档案管理费、证书费、录取费、劳务费等相关开支，由学生工作处于每年9月底前提出预算。</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第十七条</w:t>
      </w:r>
      <w:r>
        <w:rPr>
          <w:rFonts w:hint="eastAsia" w:ascii="宋体" w:hAnsi="宋体" w:cs="宋体"/>
          <w:bCs/>
          <w:color w:val="000000"/>
          <w:kern w:val="0"/>
          <w:sz w:val="28"/>
          <w:szCs w:val="28"/>
        </w:rPr>
        <w:t xml:space="preserve">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离退休经费支出预算，按国家规定的离退休人员工资、福利费、公用经费、特需经费标准，依据学院实有离退休人员足额预算。</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 xml:space="preserve">六、预算执行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第十八条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各单位经费支出总额，须控制在学院对本单位预算的支出限额以内。如有突破，学院不予支持。各单位可在本单位经费总额的5%-10%区间内设立机动资金预算，便于统筹或满足临时急需。</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第十九条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各级经费预算一经确定，原则上不予调整，如遇特殊情况确需调整的，由相关单位提出申请，财务处提出预算调整意见，提交院长办公会研究。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第二十条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各级领导均应加强预算意识，增强预算的严肃性，确保预算的完整性。严格“一支笔”审批制度，学院按照分级负责的原则，落实签批责任，经费审批执行《关于改进财务报销工作的通知》。经院长办公会批准，列入年度预算的项目，严格按照预算的金额和规定的支出范围执行。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第二十一条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 xml:space="preserve">严格经济合同的签批手续，无预算或超预算合同的签订，必须报经院长办公会研究同意，防止隐性债务的发生。 </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第二十二条 </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的收入预算按其来源相应由各分管院领导监督各单位严格执行。各单位的收入必须全部纳入学院财务部门统一核算，严禁私设“小金库”。各单位开展各种教学、科研、校企合作、社会服务等活动取得的收入在扣除各种相关支出后，按净收入的70%列入各单位经费。</w:t>
      </w:r>
    </w:p>
    <w:p>
      <w:pPr>
        <w:pStyle w:val="9"/>
        <w:spacing w:before="0" w:beforeAutospacing="0" w:after="0" w:afterAutospacing="0"/>
        <w:jc w:val="center"/>
        <w:rPr>
          <w:rFonts w:hint="eastAsia" w:ascii="黑体" w:hAnsi="黑体" w:eastAsia="黑体" w:cs="黑体"/>
          <w:color w:val="2B2B2B"/>
          <w:sz w:val="32"/>
          <w:szCs w:val="32"/>
        </w:rPr>
      </w:pPr>
      <w:r>
        <w:rPr>
          <w:rFonts w:hint="eastAsia" w:ascii="黑体" w:hAnsi="黑体" w:eastAsia="黑体" w:cs="黑体"/>
          <w:color w:val="2B2B2B"/>
          <w:sz w:val="32"/>
          <w:szCs w:val="32"/>
        </w:rPr>
        <w:t>七、附  则</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第二十三条 </w:t>
      </w:r>
      <w:r>
        <w:rPr>
          <w:rFonts w:hint="eastAsia" w:ascii="方正仿宋_GB2312" w:hAnsi="方正仿宋_GB2312" w:eastAsia="方正仿宋_GB2312" w:cs="方正仿宋_GB2312"/>
          <w:color w:val="2B2B2B"/>
          <w:kern w:val="0"/>
          <w:sz w:val="32"/>
          <w:szCs w:val="32"/>
          <w:lang w:val="en-US" w:eastAsia="zh-CN" w:bidi="ar-SA"/>
        </w:rPr>
        <w:t xml:space="preserve"> 各</w:t>
      </w:r>
      <w:r>
        <w:rPr>
          <w:rFonts w:hint="eastAsia" w:ascii="方正仿宋_GB2312" w:hAnsi="方正仿宋_GB2312" w:eastAsia="方正仿宋_GB2312" w:cs="方正仿宋_GB2312"/>
          <w:color w:val="2B2B2B"/>
          <w:kern w:val="0"/>
          <w:sz w:val="32"/>
          <w:szCs w:val="32"/>
          <w:lang w:val="en-US" w:eastAsia="zh-CN" w:bidi="ar-SA"/>
        </w:rPr>
        <w:t>系部、中心建立经费动态管理平台，详实登录本单位年度预算及预算执行；设报账员一名，加强经费管理，根据资金状况，合理开展工作。</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第二十四条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本办法由财务审计处负责解释。</w:t>
      </w:r>
    </w:p>
    <w:p>
      <w:pPr>
        <w:rPr>
          <w:rFonts w:ascii="宋体" w:hAnsi="宋体"/>
        </w:rPr>
      </w:pPr>
    </w:p>
    <w:p>
      <w:pPr>
        <w:pStyle w:val="2"/>
        <w:spacing w:before="0" w:beforeAutospacing="0" w:after="0" w:afterAutospacing="0"/>
        <w:ind w:left="420" w:leftChars="200"/>
        <w:jc w:val="center"/>
        <w:rPr>
          <w:rStyle w:val="13"/>
          <w:rFonts w:hint="eastAsia" w:ascii="方正小标宋简体" w:hAnsi="方正小标宋简体" w:eastAsia="方正小标宋简体" w:cs="方正小标宋简体"/>
          <w:b/>
          <w:bCs/>
          <w:color w:val="2B2B2B"/>
          <w:kern w:val="0"/>
          <w:sz w:val="44"/>
          <w:szCs w:val="44"/>
          <w:lang w:val="en-US" w:eastAsia="zh-CN" w:bidi="ar-SA"/>
        </w:rPr>
      </w:pPr>
      <w:r>
        <w:br w:type="page"/>
      </w:r>
      <w:r>
        <w:rPr>
          <w:rStyle w:val="13"/>
          <w:rFonts w:hint="eastAsia" w:ascii="方正小标宋简体" w:hAnsi="方正小标宋简体" w:eastAsia="方正小标宋简体" w:cs="方正小标宋简体"/>
          <w:b/>
          <w:bCs/>
          <w:color w:val="2B2B2B"/>
          <w:kern w:val="0"/>
          <w:sz w:val="44"/>
          <w:szCs w:val="44"/>
          <w:lang w:val="en-US" w:eastAsia="zh-CN" w:bidi="ar-SA"/>
        </w:rPr>
        <w:t>山东旅游职业学院经济合同管理暂行规定</w:t>
      </w:r>
    </w:p>
    <w:p>
      <w:pPr>
        <w:pStyle w:val="2"/>
        <w:spacing w:before="0" w:beforeAutospacing="0" w:after="0" w:afterAutospacing="0"/>
        <w:ind w:left="420" w:leftChars="200"/>
        <w:jc w:val="center"/>
        <w:rPr>
          <w:spacing w:val="-20"/>
          <w:sz w:val="32"/>
          <w:szCs w:val="32"/>
        </w:rPr>
      </w:pPr>
    </w:p>
    <w:p>
      <w:pPr>
        <w:pStyle w:val="3"/>
        <w:spacing w:line="240" w:lineRule="auto"/>
        <w:ind w:right="-79" w:firstLine="56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为加强学院经济合同管理，规范合同的订立程序和行为，保障学院的合法权益，根据《中华人民共和国合同法》（以下简称《合同法》）、《中华人民共和国招标投标法》和国家其他有关法律、法规，结合学院实际情况，特制定本规定。</w:t>
      </w:r>
    </w:p>
    <w:p>
      <w:pPr>
        <w:widowControl/>
        <w:tabs>
          <w:tab w:val="left" w:pos="9638"/>
        </w:tabs>
        <w:ind w:right="-82" w:firstLine="768" w:firstLineChars="24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第一条 </w:t>
      </w:r>
      <w:r>
        <w:rPr>
          <w:rFonts w:ascii="宋体" w:hAnsi="宋体"/>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凡涉及学院与自然人、法人或其他组织之间设立、变更、终止经济权利义务关系的民事法律事项，都应订立书面经济合同或协议。</w:t>
      </w:r>
    </w:p>
    <w:p>
      <w:pPr>
        <w:widowControl/>
        <w:ind w:right="-82" w:firstLine="768" w:firstLineChars="24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第二条 </w:t>
      </w:r>
      <w:r>
        <w:rPr>
          <w:rFonts w:ascii="宋体" w:hAnsi="宋体"/>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w:t>
      </w:r>
      <w:r>
        <w:rPr>
          <w:rFonts w:hint="eastAsia" w:ascii="方正仿宋_GB2312" w:hAnsi="方正仿宋_GB2312" w:eastAsia="方正仿宋_GB2312" w:cs="方正仿宋_GB2312"/>
          <w:color w:val="2B2B2B"/>
          <w:kern w:val="0"/>
          <w:sz w:val="32"/>
          <w:szCs w:val="32"/>
          <w:lang w:val="en-US" w:eastAsia="zh-CN" w:bidi="ar-SA"/>
        </w:rPr>
        <w:t>院各部门及下属单位、校办企业对外签订的各类经济合同一律适用本规定。</w:t>
      </w:r>
    </w:p>
    <w:p>
      <w:pPr>
        <w:widowControl/>
        <w:ind w:right="-82" w:firstLine="768" w:firstLineChars="24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第三条</w:t>
      </w:r>
      <w:r>
        <w:rPr>
          <w:rFonts w:ascii="宋体" w:hAnsi="宋体"/>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对外签订经济合同，除法定代表人外，必须是持有法人授权委托书的受托人。受托人必须对本单位负责，在授权范围内行使签约权。超越代理权限和非法受托人均不得对外签约，否则，由其承担全部法律责任及后果；给学院造成经济损失的，赔偿损失。</w:t>
      </w:r>
    </w:p>
    <w:p>
      <w:pPr>
        <w:pStyle w:val="3"/>
        <w:spacing w:line="240" w:lineRule="auto"/>
        <w:ind w:firstLine="56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学院各职能部门和内设机构，不具备对外签订合同、变更合同和解除合同的资格。</w:t>
      </w:r>
    </w:p>
    <w:p>
      <w:pPr>
        <w:widowControl/>
        <w:tabs>
          <w:tab w:val="left" w:pos="9638"/>
        </w:tabs>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第四条</w:t>
      </w:r>
      <w:r>
        <w:rPr>
          <w:rFonts w:ascii="宋体" w:hAnsi="宋体"/>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具有法人资格的校办企业按《公司法》、《合同法》的有关规定，管理本企业有关合同事项。</w:t>
      </w:r>
    </w:p>
    <w:p>
      <w:pPr>
        <w:pStyle w:val="3"/>
        <w:spacing w:line="240" w:lineRule="auto"/>
        <w:ind w:firstLine="56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不具备独立法人资格的学院二级单位或实行目标责任制管理的单位，原则上不能对外签订经济合同，确需签订经济合同的业务工作，须经分管院长和财务审计处、部门负责人审查合同初稿，并报院长同意后方能签订。</w:t>
      </w:r>
    </w:p>
    <w:p>
      <w:pPr>
        <w:pStyle w:val="5"/>
        <w:spacing w:line="240" w:lineRule="auto"/>
        <w:ind w:firstLine="672"/>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联营、招商引资的经济合同除由学院业务部门、财务审计处参加外，还应邀请法律方面的专家参加，并由学院法律顾问对合同文本进行审查、修改并签署同意意见后，方能对外按照程序依法签订。</w:t>
      </w:r>
    </w:p>
    <w:p>
      <w:pPr>
        <w:pStyle w:val="5"/>
        <w:spacing w:line="240" w:lineRule="auto"/>
        <w:ind w:firstLine="672"/>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特殊情况下难以执行本规定操作程序的合同，由分管副院长向院长办公会提出议题，经院长办公会审批同意方能签订合同。</w:t>
      </w:r>
    </w:p>
    <w:p>
      <w:pPr>
        <w:widowControl/>
        <w:ind w:right="-82" w:firstLine="768" w:firstLineChars="24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第五条 </w:t>
      </w:r>
      <w:r>
        <w:rPr>
          <w:rFonts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签订经济合同，必须贯彻“平等互利、协商一致、等价有偿”的原则和“公开招标、价廉物美、择优签约”的原则。</w:t>
      </w:r>
    </w:p>
    <w:p>
      <w:pPr>
        <w:widowControl/>
        <w:ind w:firstLine="768" w:firstLineChars="24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第六条</w:t>
      </w:r>
      <w:r>
        <w:rPr>
          <w:rFonts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签订经济合同，如涉及学院内部其他部门的，应事先在内部进行协商，意见统一后签约。</w:t>
      </w:r>
    </w:p>
    <w:p>
      <w:pPr>
        <w:widowControl/>
        <w:ind w:firstLine="768" w:firstLineChars="240"/>
        <w:rPr>
          <w:rFonts w:hint="eastAsia" w:ascii="宋体" w:hAnsi="宋体"/>
          <w:sz w:val="28"/>
          <w:szCs w:val="28"/>
        </w:rPr>
      </w:pPr>
      <w:r>
        <w:rPr>
          <w:rFonts w:hint="eastAsia" w:ascii="方正楷体_GB2312" w:hAnsi="方正楷体_GB2312" w:eastAsia="方正楷体_GB2312" w:cs="方正楷体_GB2312"/>
          <w:color w:val="2B2B2B"/>
          <w:kern w:val="0"/>
          <w:sz w:val="32"/>
          <w:szCs w:val="32"/>
          <w:lang w:val="en-US" w:eastAsia="zh-CN" w:bidi="ar-SA"/>
        </w:rPr>
        <w:t>第七条</w:t>
      </w:r>
      <w:r>
        <w:rPr>
          <w:rFonts w:hint="eastAsia" w:ascii="方正仿宋_GB2312" w:hAnsi="方正仿宋_GB2312" w:eastAsia="方正仿宋_GB2312" w:cs="方正仿宋_GB2312"/>
          <w:color w:val="2B2B2B"/>
          <w:kern w:val="0"/>
          <w:sz w:val="32"/>
          <w:szCs w:val="32"/>
          <w:lang w:val="en-US" w:eastAsia="zh-CN" w:bidi="ar-SA"/>
        </w:rPr>
        <w:t xml:space="preserve">  签订合同必须遵守《合同法》和国家的有关法律法规，除小额即时结清的，必须采用书面形式。任何单位和个人不得以口头形式达成各类合同。正式合同学院一般留存三份，分别由院办公室、财务审计处和签订部门留存，也可根据需要增加留存份数。</w:t>
      </w:r>
    </w:p>
    <w:p>
      <w:pPr>
        <w:widowControl/>
        <w:ind w:firstLine="768" w:firstLineChars="24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第八条</w:t>
      </w:r>
      <w:r>
        <w:rPr>
          <w:rFonts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签订经济合同，签约时应力争协定合同由我方所在地人民法院管辖。</w:t>
      </w:r>
    </w:p>
    <w:p>
      <w:pPr>
        <w:widowControl/>
        <w:ind w:right="720"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第九条</w:t>
      </w:r>
      <w:r>
        <w:rPr>
          <w:rFonts w:ascii="宋体" w:hAnsi="宋体"/>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经济合同的签订</w:t>
      </w:r>
    </w:p>
    <w:p>
      <w:pPr>
        <w:widowControl/>
        <w:ind w:right="-82" w:firstLine="576" w:firstLineChars="1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订立合同应使用国家或学院统一规定的标准（示范）合同文本，没有规定标准（示范）文本的，合同格式应符合有关法律、法规和规章制度的规定。法律、法规规定或学院认为需要公证的合同，合同签订后应办理公证手续。</w:t>
      </w:r>
    </w:p>
    <w:p>
      <w:pPr>
        <w:widowControl/>
        <w:ind w:right="-82" w:firstLine="576" w:firstLineChars="1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需要对外签订合同的相关部门为合同的承办部门，并负责组织招标、投标等有关事项。承办部门在签订合同时，必须严格审查下列事项：</w:t>
      </w:r>
    </w:p>
    <w:p>
      <w:pPr>
        <w:widowControl/>
        <w:ind w:right="-82" w:firstLine="576" w:firstLineChars="1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（一）对方当事人主体资格审查</w:t>
      </w:r>
    </w:p>
    <w:p>
      <w:pPr>
        <w:widowControl/>
        <w:ind w:right="-82" w:firstLine="576" w:firstLineChars="1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1、是否具有法人资格（营业执照复印件应与原件核对无误）；</w:t>
      </w:r>
    </w:p>
    <w:p>
      <w:pPr>
        <w:widowControl/>
        <w:ind w:right="-82" w:firstLine="576" w:firstLineChars="1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2、经营范围（有否经营权，应以营业执照为准）；</w:t>
      </w:r>
    </w:p>
    <w:p>
      <w:pPr>
        <w:widowControl/>
        <w:ind w:right="-82" w:firstLine="576" w:firstLineChars="1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3、履约能力（对方资产包括不动产、动产等基本情况）；</w:t>
      </w:r>
    </w:p>
    <w:p>
      <w:pPr>
        <w:widowControl/>
        <w:ind w:right="-82" w:firstLine="576" w:firstLineChars="1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4、资信情况（银行存款余额、同类项目的履约情况）；</w:t>
      </w:r>
    </w:p>
    <w:p>
      <w:pPr>
        <w:widowControl/>
        <w:ind w:right="-82" w:firstLine="576" w:firstLineChars="1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5、委托代理权限（对方当事人出具的委托书）。</w:t>
      </w:r>
    </w:p>
    <w:p>
      <w:pPr>
        <w:widowControl/>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（二）合同内容的审查</w:t>
      </w:r>
    </w:p>
    <w:p>
      <w:pPr>
        <w:widowControl/>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合同的合法性。包括：当事人有无签订、履行该合同的权利能力和行为能力；合同内容是否符合国家法律、政策和本规定；当事人的意思表示是否真实、一致，权利、义务是否平等；订约程序是否符合法律规定。</w:t>
      </w:r>
    </w:p>
    <w:p>
      <w:pPr>
        <w:widowControl/>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2、合同的严密性。包括：合同应具备的条款是否齐全；当事人双方的权利、义务是否具体、明确；文字表述是否确切无误。</w:t>
      </w:r>
    </w:p>
    <w:p>
      <w:pPr>
        <w:widowControl/>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3、合同的可行性。包括：当事人双方特别是对方是否具备履行合同的能力、条件；预计取得的经济效益和可能承担的风险；合同非正常履行时可能受到的经济损失。</w:t>
      </w:r>
    </w:p>
    <w:p>
      <w:pPr>
        <w:widowControl/>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合同承办人员在工作中，必须坚持原则，遵纪守法，杜绝各种不正之风，维护国家和学院的利益。</w:t>
      </w:r>
    </w:p>
    <w:p>
      <w:pPr>
        <w:widowControl/>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第十条</w:t>
      </w:r>
      <w:r>
        <w:rPr>
          <w:rFonts w:ascii="宋体" w:hAnsi="宋体"/>
          <w:sz w:val="28"/>
          <w:szCs w:val="28"/>
        </w:rPr>
        <w:t xml:space="preserve"> </w:t>
      </w:r>
      <w:r>
        <w:rPr>
          <w:rFonts w:hint="eastAsia" w:ascii="方正楷体_GB2312" w:hAnsi="方正楷体_GB2312" w:eastAsia="方正楷体_GB2312" w:cs="方正楷体_GB2312"/>
          <w:color w:val="2B2B2B"/>
          <w:kern w:val="0"/>
          <w:sz w:val="32"/>
          <w:szCs w:val="32"/>
          <w:lang w:val="en-US" w:eastAsia="zh-CN" w:bidi="ar-SA"/>
        </w:rPr>
        <w:t xml:space="preserve"> </w:t>
      </w:r>
      <w:r>
        <w:rPr>
          <w:rFonts w:hint="eastAsia" w:ascii="方正仿宋_GB2312" w:hAnsi="方正仿宋_GB2312" w:eastAsia="方正仿宋_GB2312" w:cs="方正仿宋_GB2312"/>
          <w:color w:val="2B2B2B"/>
          <w:kern w:val="0"/>
          <w:sz w:val="32"/>
          <w:szCs w:val="32"/>
          <w:lang w:val="en-US" w:eastAsia="zh-CN" w:bidi="ar-SA"/>
        </w:rPr>
        <w:t>经济合同的审查批准</w:t>
      </w:r>
    </w:p>
    <w:p>
      <w:pPr>
        <w:widowControl/>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经济合同正式签订前，必须按规定程序上报学院领导审查批准后，方能正式签订。</w:t>
      </w:r>
    </w:p>
    <w:p>
      <w:pPr>
        <w:widowControl/>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经济合同审批权限如下：</w:t>
      </w:r>
    </w:p>
    <w:p>
      <w:pPr>
        <w:widowControl/>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1、合同文本应争取由我方起草；</w:t>
      </w:r>
    </w:p>
    <w:p>
      <w:pPr>
        <w:widowControl/>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2、重大经济合同须经法律顾问审查并签署意见；</w:t>
      </w:r>
    </w:p>
    <w:p>
      <w:pPr>
        <w:widowControl/>
        <w:ind w:right="-82"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3、上报学院领导审查批准。标的金额在2万元以下的合同由分管副院长审批：标的金额超过2万元（含2万元）的，由院长审批；标的金额超过5万元的，由院长办公会集体研究决定。</w:t>
      </w:r>
    </w:p>
    <w:p>
      <w:pPr>
        <w:widowControl/>
        <w:ind w:right="-82" w:firstLine="576" w:firstLineChars="1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合同承办部门的主要负责人负责参加所属部门合同事项的招、投标及谈判；审查院长办公会、院长委托审查的合同事项；审查合同条款、内容的合法性、严密性、规范性、可行性，提出意见供决策部门参考。</w:t>
      </w:r>
    </w:p>
    <w:p>
      <w:pPr>
        <w:widowControl/>
        <w:ind w:right="-82" w:firstLine="576" w:firstLineChars="1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院属具有法人资格的企业对外签订的经济合同，一般合同由企业负责人自行审查批准，重要经济合同须报院领导审批。</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第十一条</w:t>
      </w:r>
      <w:r>
        <w:rPr>
          <w:rFonts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经济合同的审批程序</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学院对经济合同实行会签审批制度。经济合同文本形成后，由项目申办部门、财务审计处分别审查会签；报法律顾问审查、签署意见；报请院领导审批签字后方可加盖山东旅游职业学院公章或经济合同专用章。</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1、申报</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各部门的负责人在授权范围内对外签订合同。合同承办部门应事先填写“经济合同审签单”，随同合同初稿及招投标等有关资料，一并按程序办理审查批准手续。</w:t>
      </w:r>
    </w:p>
    <w:p>
      <w:pPr>
        <w:widowControl/>
        <w:ind w:firstLine="640" w:firstLineChars="2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2、审核</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对送审的经济合同，各审签部门应按本《规定》认真审阅，必要时可进行调查研究，最后做出：批准、不批准；通知申报单位补报材料或进一步谈判（应提出谈判的具体要求和注意事项）。</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3、签批用印</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主签人在“审签单”上签署意见后，学院办公室加盖单位公章或合同专用章，并将“审签单”、合同文本原件连同招投标材料留存学院办公室一份，其余合同文本原件连同其他材料发还合同申报单位和财务审计处，由承办人按批准的意见办理。</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上述审批程序，一般为7个工作日。特殊情况，经批准或授权的可不受审批程序的约束。</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第十二条 </w:t>
      </w:r>
      <w:r>
        <w:rPr>
          <w:rFonts w:ascii="宋体" w:hAnsi="宋体" w:cs="宋体"/>
          <w:bCs/>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经济合同的履行</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经济合同依法成立，即具有法律约束力。一切与合同有关的部门、人员都必须本着“重合同、守信誉”的原则，严格执行合同所规定的义务，确保合同的实际履行或全面履行。财务审计处配合有关职能部门跟踪检查合同履行情况。</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合同业务承办部门是合同履行的责任单位，应严格按合同的约定履行义务、主张权利，随时了解、掌握经济合同的履行情况，发现问题及时处理汇报。在合同履行完毕后，负责向学院办公室、财务审计处出具合同履行完毕说明书，对未能如约履行的合同要说明原因。</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合同履行完毕的标准，应以合同条款或法律规定为准。没有合同条款或法律规定的，一般应以物资交清、工程竣工并验收合格、价款结清、无遗留交涉手续为准。</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第十三条</w:t>
      </w:r>
      <w:r>
        <w:rPr>
          <w:rFonts w:ascii="宋体" w:hAnsi="宋体" w:cs="宋体"/>
          <w:bCs/>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经济合同的变更、解除</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在经济合同履行过程中遇到困难的，各部门应尽一切努力克服困难，尽力保障合同的履行。</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如实际履行或适当履行确有不可克服的困难而需要变更、解除合同时，应在法律规定或合理期限内与对方当事人进行协商。</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对方当事人提出变更、解除合同的，应从维护本单位合法权益出发，从严控制。</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变更、解除经济合同，必须符合《合同法》的规定，并应在学院内办理有关手续。</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变更、解除合同的手续，应按本规定第十一条及第十二条规定的审批权限和程序执行。</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经上报主管机关批准或工商行政管理机关鉴证的合同，在达成变更、解除协议前，应报原机关批准或备案。</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经公证机关公证的合同，在达成变更、解除协议后，必须报公证机关重新公证，才具有法律效力。</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变更、解除经济合同，一律必须采用书面形式，加盖双方当事人公章或法定代表人、授权人签字，口头形式一律无效。</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变更、解除经济合同的协议在未达成或未批准之前，原合同仍有效，仍应履行。但特殊情况经双方一致同意的例外。</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因变更、解除合同而使当事人的利益遭受损失的，除法律允许免负责任的以外，均应承担相应的责任，并在变更、解除合同的协议书中明确规定。</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变更、解除合同过程中，以权谋私、假公济私、损公肥私现象，一经查实，从严处理。</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第十四条 </w:t>
      </w:r>
      <w:r>
        <w:rPr>
          <w:rFonts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学院对经济合同管理的要求是：归口管理，责任到人。财务审计处作为学院经济合同归口管理部门，由专人对全院经济合同统一管理；各部门对其业务范围内的合同也须指定基础管理人，负责部门合同的签署、保存、归档、管理，合同归口管理人一般为部门相关负责人员。合同基础管理工作人员应注意：</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1、每份合同都应编号，不重复，不遗漏。合同的各种资料，包括合同正副文本及附件；合同文本的签收记录；分期履行的情况记录；变更、解除合同的协议（包括文书、函电）等，均应及时建档，妥善保管。</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2、各部门合同基础管理人应熟悉本部门合同内容，对需履行付款的合同，提前30天填写《山东旅游职业学院资金使用申请表》，经由院领导批复同意后，以便财务部门安排资金。</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签署合同应使用单位公章或合同专用章，其他印章一律不得用于签订合同。凡使用公章或合同专用章签约的必须填写用印申请单，确认用印人，做好用印记录。印章如遗失，应立即向公安机关报案，登报声明作废，追究有关人员的责任。</w:t>
      </w:r>
    </w:p>
    <w:p>
      <w:pPr>
        <w:widowControl/>
        <w:ind w:firstLine="576" w:firstLineChars="180"/>
        <w:jc w:val="left"/>
        <w:rPr>
          <w:rFonts w:hint="eastAsia" w:ascii="宋体" w:hAnsi="宋体" w:cs="宋体"/>
          <w:color w:val="000000"/>
          <w:kern w:val="0"/>
          <w:sz w:val="28"/>
          <w:szCs w:val="28"/>
        </w:rPr>
      </w:pPr>
      <w:r>
        <w:rPr>
          <w:rFonts w:hint="eastAsia" w:ascii="方正仿宋_GB2312" w:hAnsi="方正仿宋_GB2312" w:eastAsia="方正仿宋_GB2312" w:cs="方正仿宋_GB2312"/>
          <w:color w:val="2B2B2B"/>
          <w:kern w:val="0"/>
          <w:sz w:val="32"/>
          <w:szCs w:val="32"/>
          <w:lang w:val="en-US" w:eastAsia="zh-CN" w:bidi="ar-SA"/>
        </w:rPr>
        <w:t>4、合同保管部门（或专人）应对合同内容中涉及保密的条款承担保密责任，以免由于商业机密泄露对学院造成不必要的经济损失</w:t>
      </w:r>
      <w:r>
        <w:rPr>
          <w:rFonts w:ascii="宋体" w:hAnsi="宋体" w:cs="宋体"/>
          <w:color w:val="000000"/>
          <w:kern w:val="0"/>
          <w:sz w:val="28"/>
          <w:szCs w:val="28"/>
        </w:rPr>
        <w:t>。</w:t>
      </w:r>
    </w:p>
    <w:p>
      <w:pPr>
        <w:widowControl/>
        <w:ind w:firstLine="576" w:firstLineChars="18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第十五条 </w:t>
      </w:r>
      <w:r>
        <w:rPr>
          <w:rFonts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本规定中未尽事宜，依据《合同法》相关条款执行。</w:t>
      </w:r>
    </w:p>
    <w:p>
      <w:pPr>
        <w:widowControl/>
        <w:ind w:firstLine="576" w:firstLineChars="180"/>
        <w:jc w:val="left"/>
        <w:rPr>
          <w:rFonts w:hint="eastAsia" w:ascii="宋体" w:hAnsi="宋体" w:cs="宋体"/>
          <w:color w:val="000000"/>
          <w:kern w:val="0"/>
          <w:sz w:val="28"/>
          <w:szCs w:val="28"/>
        </w:rPr>
      </w:pPr>
      <w:r>
        <w:rPr>
          <w:rFonts w:hint="eastAsia" w:ascii="方正楷体_GB2312" w:hAnsi="方正楷体_GB2312" w:eastAsia="方正楷体_GB2312" w:cs="方正楷体_GB2312"/>
          <w:color w:val="2B2B2B"/>
          <w:kern w:val="0"/>
          <w:sz w:val="32"/>
          <w:szCs w:val="32"/>
          <w:lang w:val="en-US" w:eastAsia="zh-CN" w:bidi="ar-SA"/>
        </w:rPr>
        <w:t xml:space="preserve">第十六条 </w:t>
      </w:r>
      <w:r>
        <w:rPr>
          <w:rFonts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本规定自印发之日起执行。</w:t>
      </w:r>
    </w:p>
    <w:p>
      <w:pPr>
        <w:widowControl/>
        <w:ind w:firstLine="504" w:firstLineChars="180"/>
        <w:jc w:val="left"/>
        <w:rPr>
          <w:rFonts w:hint="eastAsia" w:ascii="宋体" w:hAnsi="宋体" w:cs="宋体"/>
          <w:color w:val="000000"/>
          <w:kern w:val="0"/>
          <w:sz w:val="28"/>
          <w:szCs w:val="28"/>
        </w:rPr>
      </w:pPr>
    </w:p>
    <w:p>
      <w:pPr>
        <w:jc w:val="center"/>
        <w:rPr>
          <w:rFonts w:hint="eastAsia" w:ascii="宋体" w:hAnsi="宋体"/>
          <w:b/>
          <w:sz w:val="32"/>
          <w:szCs w:val="32"/>
        </w:rPr>
      </w:pPr>
      <w:r>
        <w:rPr>
          <w:rFonts w:ascii="宋体" w:hAnsi="宋体" w:cs="宋体"/>
          <w:color w:val="000000"/>
          <w:kern w:val="0"/>
          <w:sz w:val="28"/>
          <w:szCs w:val="28"/>
        </w:rPr>
        <w:br w:type="page"/>
      </w:r>
      <w:r>
        <w:rPr>
          <w:rStyle w:val="13"/>
          <w:rFonts w:hint="eastAsia" w:ascii="方正小标宋简体" w:hAnsi="方正小标宋简体" w:eastAsia="方正小标宋简体" w:cs="方正小标宋简体"/>
          <w:b/>
          <w:bCs/>
          <w:color w:val="2B2B2B"/>
          <w:kern w:val="0"/>
          <w:sz w:val="44"/>
          <w:szCs w:val="44"/>
          <w:lang w:val="en-US" w:eastAsia="zh-CN" w:bidi="ar-SA"/>
        </w:rPr>
        <w:t>山东旅游职业学院经费支出审批管理规定</w:t>
      </w:r>
    </w:p>
    <w:p>
      <w:pPr>
        <w:shd w:val="clear" w:color="auto" w:fill="FFFFFF"/>
        <w:ind w:firstLine="480"/>
        <w:rPr>
          <w:rFonts w:hint="eastAsia" w:ascii="宋体" w:hAnsi="宋体" w:cs="宋体"/>
          <w:color w:val="000000"/>
          <w:kern w:val="0"/>
          <w:sz w:val="18"/>
          <w:szCs w:val="18"/>
        </w:rPr>
      </w:pP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第一条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为加强学院财务管理，明确经费审批权限，进一步规范经费审批程序，强化单位负责人和项目负责人的主体责任，促进财务工作规范化、制度化，提升财务报销工作效率，根据《中华人民共和国预算法》、《中华人民共和国会计法》、《高等学校财务制度》（财教〔2012〕488号）和国家其他相关规定，按照学院综合改革工作要求，切实推进二级预算管理改革，结合学院实际，制定本规定。</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第二条 </w:t>
      </w:r>
      <w:r>
        <w:rPr>
          <w:rFonts w:hint="eastAsia" w:ascii="方正仿宋_GB2312" w:hAnsi="方正仿宋_GB2312" w:eastAsia="方正仿宋_GB2312" w:cs="方正仿宋_GB2312"/>
          <w:color w:val="2B2B2B"/>
          <w:kern w:val="0"/>
          <w:sz w:val="32"/>
          <w:szCs w:val="32"/>
          <w:lang w:val="en-US" w:eastAsia="zh-CN" w:bidi="ar-SA"/>
        </w:rPr>
        <w:t>经费范围</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本规定所指经费，是指纳入学院财务统一核算和管理的所有经费。包括教育事业经费、科研事业经费、基本建设经费、代管工会经费、党团经费等。</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第三条</w:t>
      </w:r>
      <w:r>
        <w:rPr>
          <w:rFonts w:hint="eastAsia" w:ascii="方正仿宋_GB2312" w:hAnsi="方正仿宋_GB2312" w:eastAsia="方正仿宋_GB2312" w:cs="方正仿宋_GB2312"/>
          <w:color w:val="2B2B2B"/>
          <w:kern w:val="0"/>
          <w:sz w:val="32"/>
          <w:szCs w:val="32"/>
          <w:lang w:val="en-US" w:eastAsia="zh-CN" w:bidi="ar-SA"/>
        </w:rPr>
        <w:t>经费审批原则</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一、“谁主管、谁审批、谁负责”原则</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学院实行“统一领导，分级管理，集中核算”的财务管理体制。审批权限实行“谁主管、谁审批、谁负责”的审批制度。</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二、严格预算控制原则</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各单位审批人必须在学院下达的年度经费预算额度内，按规定用途审批预算经费。无预算、超预算事项一律不得安排。</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三、内部规避原则</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审批人不能审批本人、配偶、直系亲属经办的经费支出业务。审批人本人或其配偶、直系亲属经办其审批范围内的经费支出事项，按以下规定执行：</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 正职领导为审批人的，由学院分管负责人审批。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 科研项目（课题）的负责人为审批人的，由学院分管科研负责人审批。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四、大额经费慎重审批原则</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学院对外支付的国库资金、银行存款和其他货币资金等一次金额在2万元及以上的需进一步审批，实行分级授权审批。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xml:space="preserve">第四条 </w:t>
      </w:r>
      <w:r>
        <w:rPr>
          <w:rFonts w:hint="eastAsia" w:ascii="方正仿宋_GB2312" w:hAnsi="方正仿宋_GB2312" w:eastAsia="方正仿宋_GB2312" w:cs="方正仿宋_GB2312"/>
          <w:color w:val="2B2B2B"/>
          <w:kern w:val="0"/>
          <w:sz w:val="32"/>
          <w:szCs w:val="32"/>
          <w:lang w:val="en-US" w:eastAsia="zh-CN" w:bidi="ar-SA"/>
        </w:rPr>
        <w:t>经</w:t>
      </w:r>
      <w:r>
        <w:rPr>
          <w:rFonts w:hint="eastAsia" w:ascii="方正仿宋_GB2312" w:hAnsi="方正仿宋_GB2312" w:eastAsia="方正仿宋_GB2312" w:cs="方正仿宋_GB2312"/>
          <w:color w:val="2B2B2B"/>
          <w:kern w:val="0"/>
          <w:sz w:val="32"/>
          <w:szCs w:val="32"/>
          <w:lang w:val="en-US" w:eastAsia="zh-CN" w:bidi="ar-SA"/>
        </w:rPr>
        <w:t>费审批相关人员</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经费审批相关人员是指经济事项的经办人、验收人或证明人和审批人。</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一、经办人</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 经办人是指货物、工程、服务等的采购人，税费、利息和各种保险的缴纳人，借款、领款和报销事务的承办人等。</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 经办人对所经办事项的合法性、真实性、完整性、规范性、准确性和时效性等负直接责任，办理借款时，事由必须具体、明确，不得以借款为由长期占用公款。</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二、验收人或证明人</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 验收人是指货物购回、工程竣工后，使用前办理入库或验收手续的人员。</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 证明人是指取得服务过程或确保经济事项真实性的见证人。</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 验收人、证明人和经办人一样对经济事项的合法性、真实性、完整性、规范性、准确性和时效性负直接责任。</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三、审批人</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 审批人是指学院按权责统一原则授权，可以对其管理的经费支出审批确认的人员。</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 各项经费的审批人，根据经费来源、职责分工、归口管理及支出额度等情况，分别确定，实行分级授权审批。除科研项目（课题）经费由项目负责人、教学研究室负责人审批外，其他经费审批人，原则上为各部门主要负责人。</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 审批人必须签明经费支出渠道（预算科目）及明确的审批意见。</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经费审批相关人员：经办人、验收人或证明人、审批人字迹必须工整，清晰可辨。</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第五条</w:t>
      </w:r>
      <w:r>
        <w:rPr>
          <w:rFonts w:hint="eastAsia" w:ascii="宋体" w:hAnsi="宋体"/>
          <w: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预算内经费审批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一、人员经费审批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 学院按规定标准发放的职工工资、离退休费用、社会保险费、职工福利费、人才津贴等支出，由组织人事处负责审批。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 年终绩效由人事处审核汇总后，报学院分管人事负责人和院长审批。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 其他按照规定发放的人员经费由组织人事处审批。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4. 从项目经费中（主要包括科研项目、经上级主管部门认可的各类考试项目）支付的人员经费，由项目归口管理负责人审批。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5. 各类奖助学金由学生工作处根据评奖或资助方案审核、公示后审批。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二、公用经费审批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 差旅费、会议费、培训费根据《山东旅游职业学院差旅费管理办法》、《山东旅游职业学院会议费管理实施细则》、《山东旅游职业学院培训费管理实施细则》规定执行；科研经费根据《山东旅游职业学院科研经费管理办法》规定执行；由经办人汇总，部门预算管理员审核，交部门负责人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 设备购置费（含图书）。行政教辅设备费根据采购合同、固定资产验收报告和固定资产验收单，由使用部门负责人、资产管理部门负责人审批；教学设备费根据采购合同、固定资产验收报告和固定资产验收单，由使用部门负责人、教务处负责人和资产管理部门负责人审批；图书购置费根据采购合同和图书验收单由图书馆负责人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 公务费、业务费等日常公用经费支出，由各部门主要负责人根据部门预算和审批权限审批。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4. 专项经费支出由相关责任部门负责人审批。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5. 基本建设（修缮）工程进度款支付由施工方提出支付申请，经工程监理、现场管理人员、工程项目负责人签署意见后，根据工程进度款支付审批表，由校区建设管理办公室负责人、财务审计处负责人及分管基建院领导和院长分别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6. 公务接待费由学院办公室根据《山东旅游职业学院公务接待管理办法》规定审批。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上述各项支出金额在5000元以下的，按上述程序审批；金额在5000-20000元之间的支出，经上述程序审批后，还须经学院分管负责人审批。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三、其他经费审批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 代管经费审批。代管的学院工会经费，由院工会副主席审批；代管的党费，由学院党委组织部门负责人审批；代管的团费由团委负责人审批。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 质保金退款审批。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工程质保金退款，根据工程项目合同，在工程质保期满经复验合格后，由校区建设管理办公室负责人审批。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设备质保金支付，根据设备采购合同，在设备质保期满经验收合格后，由总务处负责人审批。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 学生退费审批。学生学费、住宿费退费由学生辅导员提出申请，经所在系部、学生工作处审核，财务审计处审批。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第六条</w:t>
      </w:r>
      <w:r>
        <w:rPr>
          <w:rFonts w:hint="eastAsia" w:ascii="宋体" w:hAnsi="宋体"/>
          <w: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大额资金审批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大额资金支付在以上正常审批基础上还需办理以下审批手续：</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各种经费凡一次性支出在2万元及以上5万元以下的，由承办部门负责人、学院分管负责人审核，经财务审计处汇总交协管财务院领导、分管财务副院长审批；5万元及以上还须院长审批。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以下支出事项不需办理大额资金审批手续：</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（1）学院按月按规定标准发放的人员工资。</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（2）缴存职工社会保险费、住房公积金。</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（3）学院办理非税收入上缴国库、财政专户。</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（4）代扣代缴个人所得税。</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（5）按月结算的水费、电费。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（6）办理借款时相关领导已审批签字，报销事项与借款事项一致，且报销金额未超出借款金额的。</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（7）工程质保金和设备质保金退付。</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（8）债务本息及手续费偿还。</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第七条</w:t>
      </w:r>
      <w:r>
        <w:rPr>
          <w:rFonts w:hint="eastAsia" w:ascii="宋体" w:hAnsi="宋体"/>
          <w: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其他事项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1. 原始凭证遗失，凭盖有原凭证开出单位财务或发票专用章的原始凭证存根联复印件，连同经证明人签字的发票遗失说明交由经费审批人审批。原始凭证遗失，除经部门负责人审批外，还需学院分管负责人、分管财务负责人审批。对丢失一次以上原始凭证者，不予报销对应支出。</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2. 业务支出事项应优先取得机打发票；对大量票面样式、经济内容等相同的原始票据，按照财务规定粘贴整齐的，审批人可在财务审计处统一印制的审签单上签批，视同已履行正常审批程序。</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3. 对纳入公务卡强制结算目录的，原则上应通过银行转账或公务卡结算，因特殊原因需现金结算的，需提前申请，由财务审计处负责人审批，否则不予报销。</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4. 财务人员发现凡审批手续不全或违规审批的，可不予受理。</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第八条</w:t>
      </w:r>
      <w:r>
        <w:rPr>
          <w:rFonts w:hint="eastAsia" w:ascii="宋体" w:hAnsi="宋体"/>
          <w:b/>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审批责任</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各级审批人应根据各自的职责分工和所授权限，在授权范围内审批，不得超越权限审批。审批人对其审批经济事项的真实性、合法性和效益性负领导责任。</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经费审批人根据工作需要书面授权班子成员作为经费审批人的，审批责任由审批人和受托代理人共同承担。</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财务部门负责对各部门经审批的报销单据进行发票真伪复核以及审批流程的审核。</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因审批不严造成学院经济损失的、违反规定滥用审批权限的、冒用伪造审批人笔迹等违规审批的，根据《财政违法行为处罚处分条例》等相关制度，学院监察审计部门将追究当事人行政责任，情节严重的，将按照国家相关管理规定依法追究，涉嫌犯罪的，移送司法机关处理。</w:t>
      </w:r>
    </w:p>
    <w:p>
      <w:pPr>
        <w:ind w:firstLine="640" w:firstLineChars="20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第九条</w:t>
      </w:r>
      <w:r>
        <w:rPr>
          <w:rFonts w:hint="eastAsia" w:ascii="宋体" w:hAnsi="宋体"/>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院属各独立核算单位可参照本规定另行制订经费审批办法，报学院批准后执行。</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第十条</w:t>
      </w:r>
      <w:r>
        <w:rPr>
          <w:rFonts w:hint="eastAsia" w:ascii="方正楷体_GB2312" w:hAnsi="方正楷体_GB2312" w:eastAsia="方正楷体_GB2312" w:cs="方正楷体_GB2312"/>
          <w:color w:val="2B2B2B"/>
          <w:kern w:val="0"/>
          <w:sz w:val="32"/>
          <w:szCs w:val="32"/>
          <w:lang w:val="en-US" w:eastAsia="zh-CN" w:bidi="ar-SA"/>
        </w:rPr>
        <w:t xml:space="preserve"> </w:t>
      </w:r>
      <w:r>
        <w:rPr>
          <w:rFonts w:hint="eastAsia" w:ascii="方正仿宋_GB2312" w:hAnsi="方正仿宋_GB2312" w:eastAsia="方正仿宋_GB2312" w:cs="方正仿宋_GB2312"/>
          <w:color w:val="2B2B2B"/>
          <w:kern w:val="0"/>
          <w:sz w:val="32"/>
          <w:szCs w:val="32"/>
          <w:lang w:val="en-US" w:eastAsia="zh-CN" w:bidi="ar-SA"/>
        </w:rPr>
        <w:t>监督检查</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各部门的经费审批工作纳入学院内部控制体系建设，应当建立健全内部控制制度、经济责任制度、财务信息披露制度等监督制度，制定相关岗位职责、明晰工作流程、梳理风险防控点，做好自查和档案管理工作，自觉接受监察审计部门的监督。</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监察室对各部门财务监督应当实行事前监督、事中监督、事后监督相结合，日常监督与专项检查相结合，对违反财务规章制度的问题进行检查纠正。</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为推进财务管理工作的公开化、透明化，对预算经费使用整体情况纳入预算管理报告，依法公开财务信息。</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第十一条</w:t>
      </w:r>
      <w:r>
        <w:rPr>
          <w:rFonts w:hint="eastAsia" w:ascii="宋体" w:hAnsi="宋体" w:cs="宋体"/>
          <w:color w:val="000000"/>
          <w:kern w:val="0"/>
          <w:sz w:val="28"/>
          <w:szCs w:val="28"/>
        </w:rPr>
        <w:t xml:space="preserve"> </w:t>
      </w:r>
      <w:r>
        <w:rPr>
          <w:rFonts w:hint="eastAsia" w:ascii="方正仿宋_GB2312" w:hAnsi="方正仿宋_GB2312" w:eastAsia="方正仿宋_GB2312" w:cs="方正仿宋_GB2312"/>
          <w:color w:val="2B2B2B"/>
          <w:kern w:val="0"/>
          <w:sz w:val="32"/>
          <w:szCs w:val="32"/>
          <w:lang w:val="en-US" w:eastAsia="zh-CN" w:bidi="ar-SA"/>
        </w:rPr>
        <w:t>本规定由财务审计处负责解释。</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第十二条</w:t>
      </w:r>
      <w:r>
        <w:rPr>
          <w:rFonts w:hint="eastAsia" w:ascii="方正仿宋_GB2312" w:hAnsi="方正仿宋_GB2312" w:eastAsia="方正仿宋_GB2312" w:cs="方正仿宋_GB2312"/>
          <w:color w:val="2B2B2B"/>
          <w:kern w:val="0"/>
          <w:sz w:val="32"/>
          <w:szCs w:val="32"/>
          <w:lang w:val="en-US" w:eastAsia="zh-CN" w:bidi="ar-SA"/>
        </w:rPr>
        <w:t xml:space="preserve"> 本规定自2017年4月1日起执行</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pPr>
    </w:p>
    <w:p>
      <w:pPr>
        <w:widowControl/>
        <w:spacing w:line="700" w:lineRule="atLeast"/>
        <w:jc w:val="center"/>
        <w:rPr>
          <w:rStyle w:val="13"/>
          <w:rFonts w:hint="eastAsia" w:ascii="方正小标宋简体" w:hAnsi="方正小标宋简体" w:eastAsia="方正小标宋简体" w:cs="方正小标宋简体"/>
          <w:b/>
          <w:bCs/>
          <w:color w:val="2B2B2B"/>
          <w:kern w:val="0"/>
          <w:sz w:val="44"/>
          <w:szCs w:val="44"/>
          <w:lang w:val="en-US" w:eastAsia="zh-CN" w:bidi="ar-SA"/>
        </w:rPr>
      </w:pPr>
      <w:r>
        <w:rPr>
          <w:rFonts w:hint="eastAsia" w:ascii="宋体" w:hAnsi="宋体" w:cs="宋体"/>
          <w:color w:val="000000"/>
          <w:kern w:val="0"/>
          <w:sz w:val="28"/>
          <w:szCs w:val="28"/>
        </w:rPr>
        <w:t> </w:t>
      </w:r>
      <w:r>
        <w:rPr>
          <w:rStyle w:val="13"/>
          <w:rFonts w:hint="eastAsia" w:ascii="方正小标宋简体" w:hAnsi="方正小标宋简体" w:eastAsia="方正小标宋简体" w:cs="方正小标宋简体"/>
          <w:b/>
          <w:bCs/>
          <w:color w:val="2B2B2B"/>
          <w:kern w:val="0"/>
          <w:sz w:val="44"/>
          <w:szCs w:val="44"/>
          <w:lang w:val="en-US" w:eastAsia="zh-CN" w:bidi="ar-SA"/>
        </w:rPr>
        <w:t>山东旅游职业学院财务票据报销须知</w:t>
      </w:r>
    </w:p>
    <w:p>
      <w:pPr>
        <w:widowControl/>
        <w:spacing w:line="520" w:lineRule="atLeast"/>
        <w:ind w:firstLine="560"/>
        <w:jc w:val="left"/>
        <w:rPr>
          <w:rFonts w:hint="eastAsia" w:ascii="宋体" w:hAnsi="宋体" w:cs="宋体"/>
          <w:color w:val="000000"/>
          <w:kern w:val="0"/>
          <w:sz w:val="28"/>
          <w:szCs w:val="28"/>
        </w:rPr>
      </w:pP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凡在经济活动过程中取得、且需在财务报销的票据，应首先审查发票的基本构成要素是否齐全、填写是否正确。主要包括：开票时间、经济内容、规格、数量、单价、金额，金额大小写是否一致，开具发票单位盖章、经办人与收款人签字、发票使用有效期限等要素是否完整。发票抬头必须是“山东旅游职业学院”。</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二、在发票验证系统通过发票代码、发票号码，审查发生业务的真实性，验证票据真伪（详情请查询税务局网站）；若未自行核查，财务处将首先查验票据真伪，再按程序审核报销。。</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根据省财政厅相关规定，出差人员到边远、农村地区出差，以及出差期间在自己或亲友家住宿，无法取得住宿发票的，应事先在出差审批单中或另附说明写明有关情况并按规定程序审批（按审批权限执行）后，方可按规定标准报销伙食补助费和市内交通补助费。否则，不报销出差补助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工作人员乘坐飞机出差，凭“航空运输电子客票行程单”及其登机牌报销，其中，电子客票行程单上的“电子客票号码、印刷序号、验证码、票价金额、填开日期、航班号”以及乘机姓名等要素齐全，且附公务机票查验单，凡信息不全或票据信息、系统信息与登机牌不一致者，财务不予审核报销。</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票据附件：部分发票票面项目只开具“办公用品、耗材、资料费、劳务费、图书、租赁费、订车费、打印费”等笼统名目字样，必须附有开票单位出具的明细清单，且在清单上加盖经营单位章，经手人、审批人签字后，方可按规定提交财务审核报销；要素不齐或报销人自制清单，财务不予审核报销。</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六、贯彻“谁主管、谁审批、谁负责”的原则。经手人、证明人、审批人等在票据上签字时，需写明资金用途、业务内容、资金来源或预算项目、审批时间等信息。</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七、财务票据经审核报销后，通过国库（银行）转账或公务卡办理资金结算，不结算现金。</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八、各级签批人员应担负起签批责任，财务审计处定期对报销审批过程中出现的问题进行汇总，向院长办公会进行汇报，根据要求通报。凡弄虚作假、虚报冒领，将依法追究并承担相应责任。</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九、各种科研经费及教学改革项目经费不报销燃油费、餐饮费。</w:t>
      </w:r>
    </w:p>
    <w:p>
      <w:pPr>
        <w:shd w:val="clear" w:color="auto" w:fill="FFFFFF"/>
        <w:ind w:firstLine="480"/>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十、本须知自公布之日起执行。</w:t>
      </w:r>
    </w:p>
    <w:p>
      <w:pPr>
        <w:widowControl/>
        <w:spacing w:line="360" w:lineRule="atLeast"/>
        <w:ind w:firstLine="5100"/>
        <w:jc w:val="left"/>
        <w:rPr>
          <w:rFonts w:hint="eastAsia" w:ascii="宋体" w:hAnsi="宋体" w:cs="宋体"/>
          <w:color w:val="000000"/>
          <w:kern w:val="0"/>
          <w:sz w:val="28"/>
          <w:szCs w:val="28"/>
        </w:rPr>
      </w:pPr>
    </w:p>
    <w:p>
      <w:pPr>
        <w:widowControl/>
        <w:spacing w:line="360" w:lineRule="atLeast"/>
        <w:ind w:firstLine="5100"/>
        <w:jc w:val="left"/>
        <w:rPr>
          <w:rFonts w:hint="eastAsia" w:ascii="宋体" w:hAnsi="宋体" w:cs="宋体"/>
          <w:color w:val="000000"/>
          <w:kern w:val="0"/>
          <w:sz w:val="28"/>
          <w:szCs w:val="28"/>
        </w:rPr>
      </w:pPr>
    </w:p>
    <w:p>
      <w:pPr>
        <w:widowControl/>
        <w:spacing w:line="360" w:lineRule="atLeast"/>
        <w:ind w:firstLine="5100"/>
        <w:jc w:val="left"/>
        <w:rPr>
          <w:rFonts w:hint="eastAsia" w:ascii="宋体" w:hAnsi="宋体" w:cs="宋体"/>
          <w:color w:val="000000"/>
          <w:kern w:val="0"/>
          <w:sz w:val="28"/>
          <w:szCs w:val="28"/>
        </w:rPr>
      </w:pPr>
    </w:p>
    <w:p>
      <w:pPr>
        <w:widowControl/>
        <w:spacing w:line="360" w:lineRule="atLeast"/>
        <w:ind w:firstLine="5100"/>
        <w:jc w:val="left"/>
        <w:rPr>
          <w:rFonts w:hint="eastAsia" w:ascii="宋体" w:hAnsi="宋体" w:cs="宋体"/>
          <w:color w:val="000000"/>
          <w:kern w:val="0"/>
          <w:sz w:val="28"/>
          <w:szCs w:val="28"/>
        </w:rPr>
      </w:pPr>
    </w:p>
    <w:p>
      <w:pPr>
        <w:shd w:val="clear" w:color="auto" w:fill="FFFFFF"/>
        <w:ind w:firstLine="5203" w:firstLineChars="1626"/>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财务审计处</w:t>
      </w:r>
    </w:p>
    <w:p>
      <w:pPr>
        <w:shd w:val="clear" w:color="auto" w:fill="FFFFFF"/>
        <w:ind w:firstLine="4800" w:firstLineChars="150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 2</w:t>
      </w:r>
      <w:r>
        <w:rPr>
          <w:rFonts w:hint="eastAsia" w:ascii="方正仿宋_GB2312" w:hAnsi="方正仿宋_GB2312" w:eastAsia="方正仿宋_GB2312" w:cs="方正仿宋_GB2312"/>
          <w:color w:val="2B2B2B"/>
          <w:kern w:val="0"/>
          <w:sz w:val="32"/>
          <w:szCs w:val="32"/>
          <w:lang w:val="en-US" w:eastAsia="zh-CN" w:bidi="ar-SA"/>
        </w:rPr>
        <w:t>017年4月1日</w:t>
      </w:r>
    </w:p>
    <w:p>
      <w:pPr>
        <w:widowControl/>
        <w:jc w:val="center"/>
        <w:rPr>
          <w:rFonts w:ascii="宋体" w:hAnsi="宋体" w:cs="宋体"/>
          <w:vanish/>
          <w:color w:val="000000"/>
          <w:kern w:val="0"/>
          <w:sz w:val="32"/>
          <w:szCs w:val="32"/>
        </w:rPr>
      </w:pPr>
      <w:r>
        <w:rPr>
          <w:rFonts w:ascii="宋体" w:hAnsi="宋体"/>
        </w:rPr>
        <w:br w:type="page"/>
      </w:r>
    </w:p>
    <w:p>
      <w:pPr>
        <w:pStyle w:val="9"/>
        <w:spacing w:before="0" w:beforeAutospacing="0" w:after="0" w:afterAutospacing="0"/>
        <w:jc w:val="center"/>
        <w:rPr>
          <w:rStyle w:val="13"/>
          <w:rFonts w:hint="eastAsia" w:ascii="方正小标宋简体" w:hAnsi="方正小标宋简体" w:eastAsia="方正小标宋简体" w:cs="方正小标宋简体"/>
          <w:b/>
          <w:bCs/>
          <w:color w:val="2B2B2B"/>
          <w:sz w:val="44"/>
          <w:szCs w:val="44"/>
        </w:rPr>
      </w:pPr>
      <w:r>
        <w:rPr>
          <w:rStyle w:val="13"/>
          <w:rFonts w:hint="eastAsia" w:ascii="方正小标宋简体" w:hAnsi="方正小标宋简体" w:eastAsia="方正小标宋简体" w:cs="方正小标宋简体"/>
          <w:b/>
          <w:bCs/>
          <w:color w:val="2B2B2B"/>
          <w:sz w:val="44"/>
          <w:szCs w:val="44"/>
        </w:rPr>
        <w:t>财政违法行为处罚处分条例</w:t>
      </w:r>
    </w:p>
    <w:p>
      <w:pPr>
        <w:pStyle w:val="9"/>
        <w:spacing w:before="0" w:beforeAutospacing="0" w:after="0" w:afterAutospacing="0"/>
        <w:jc w:val="center"/>
        <w:rPr>
          <w:rFonts w:hint="eastAsia" w:ascii="方正仿宋_GB2312" w:hAnsi="方正仿宋_GB2312" w:eastAsia="方正仿宋_GB2312" w:cs="方正仿宋_GB2312"/>
          <w:color w:val="2B2B2B"/>
          <w:kern w:val="0"/>
          <w:sz w:val="32"/>
          <w:szCs w:val="32"/>
          <w:lang w:val="en-US" w:eastAsia="zh-CN" w:bidi="ar-SA"/>
        </w:rPr>
      </w:pP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（2004年11月30日中华人民共和国国务院令第427号公布　根据2011年1月8日《国务院关于废止和修改部分行政法规的决定》修订）</w:t>
      </w:r>
    </w:p>
    <w:p>
      <w:pPr>
        <w:widowControl/>
        <w:spacing w:line="432" w:lineRule="auto"/>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第一条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为了纠正财政违法行为，维护国家财政经济秩序，制定本条例。</w:t>
      </w:r>
    </w:p>
    <w:p>
      <w:pPr>
        <w:widowControl/>
        <w:spacing w:line="432" w:lineRule="auto"/>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　　第二条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县级以上人民政府财政部门及审计机关在各自职权范围内，依法对财政违法行为作出处理、处罚决定。</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省级以上人民政府财政部门的派出机构，应当在规定职权范围内，依法对财政违法行为作出处理、处罚决定；审计机关的派出机构，应当根据审计机关的授权，依法对财政违法行为作出处理、处罚决定。</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根据需要，国务院可以依法调整财政部门及其派出机构（以下统称财政部门）、审计机关及其派出机构（以下统称审计机关）的职权范围。</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有财政违法行为的单位，其直接负责的主管人员和其他直接责任人员，以及有财政违法行为的个人，属于国家公务员的，由监察机关及其派出机构（以下统称监察机关）或者任免机关依照人事管理权限，依法给予行政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（一）违反规定设立财政收入项目；</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（二）违反规定擅自改变财政收入项目的范围、标准、对象和期限；</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（三）对已明令取消、暂停执行或者降低标准的财政收入项目，仍然依照原定项目、标准征收或者变换名称征收；</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（四）缓收、不收财政收入；</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宋体" w:hAnsi="宋体" w:cs="宋体"/>
          <w:color w:val="000000"/>
          <w:kern w:val="0"/>
          <w:sz w:val="28"/>
          <w:szCs w:val="28"/>
        </w:rPr>
        <w:t>（</w:t>
      </w:r>
      <w:r>
        <w:rPr>
          <w:rFonts w:hint="eastAsia" w:ascii="方正仿宋_GB2312" w:hAnsi="方正仿宋_GB2312" w:eastAsia="方正仿宋_GB2312" w:cs="方正仿宋_GB2312"/>
          <w:color w:val="2B2B2B"/>
          <w:kern w:val="0"/>
          <w:sz w:val="32"/>
          <w:szCs w:val="32"/>
          <w:lang w:val="en-US" w:eastAsia="zh-CN" w:bidi="ar-SA"/>
        </w:rPr>
        <w:t>五）擅自将预算收入转为预算外收入；</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（六）其他违反国家财政收入管理规定的行为。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《中华人民共和国税收征收管理法》等法律、行政法规另有规定的，依照其规定给予行政处分。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第四条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（一）隐瞒应当上缴的财政收入；</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（二）滞留、截留、挪用应当上缴的财政收入；</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（三）坐支应当上缴的财政收入；</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（四）不依照规定的财政收入预算级次、预算科目入库；</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（五）违反规定退付国库库款或者财政专户资金；</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（六）其他违反国家财政收入上缴规定的行为。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《中华人民共和国税收征收管理法》、《中华人民共和国预算法》等法律、行政法规另有规定的，依照其规定给予行政处分。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第五条</w:t>
      </w:r>
      <w:r>
        <w:rPr>
          <w:rFonts w:hint="eastAsia" w:ascii="方正仿宋_GB2312" w:hAnsi="方正仿宋_GB2312" w:eastAsia="方正仿宋_GB2312" w:cs="方正仿宋_GB2312"/>
          <w:color w:val="2B2B2B"/>
          <w:kern w:val="0"/>
          <w:sz w:val="32"/>
          <w:szCs w:val="32"/>
          <w:lang w:val="en-US" w:eastAsia="zh-CN" w:bidi="ar-SA"/>
        </w:rPr>
        <w:t>　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（一）延解、占压应当上解的财政收入；</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（二）不依照预算或者用款计划核拨财政资金；</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（三）违反规定收纳、划分、留解、退付国库库款或者财政专户资金；</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（四）将应当纳入国库核算的财政收入放在财政专户核算；</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w:t>
      </w:r>
      <w:r>
        <w:rPr>
          <w:rFonts w:hint="eastAsia" w:ascii="方正仿宋_GB2312" w:hAnsi="方正仿宋_GB2312" w:eastAsia="方正仿宋_GB2312" w:cs="方正仿宋_GB2312"/>
          <w:color w:val="2B2B2B"/>
          <w:kern w:val="0"/>
          <w:sz w:val="32"/>
          <w:szCs w:val="32"/>
          <w:lang w:val="en-US" w:eastAsia="zh-CN" w:bidi="ar-SA"/>
        </w:rPr>
        <w:t>五）擅自动用国库库款或者财政专户资金；</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（六）其他违反国家有关上解、下拨财政资金规定的行为。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第六条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（一）以虚报、冒领等手段骗取财政资金；</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（二）截留、挪用财政资金；</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（三）滞留应当下拨的财政资金；</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（四）违反规定扩大开支范围，提高开支标准；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（五）其他违反规定使用、骗取财政资金的行为。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第七条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（一）虚增、虚减财政收入或者财政支出；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（二）违反规定编制、批复预算或者决算；</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（三）违反规定调整预算；</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（四）违反规定调整预算级次或者预算收支种类；</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（五）违反规定动用预算预备费或者挪用预算周转金；</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（六）违反国家关于转移支付管理规定的行为；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（七）其他违反国家有关预算管理规定的行为。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第八条</w:t>
      </w:r>
      <w:r>
        <w:rPr>
          <w:rFonts w:hint="eastAsia" w:ascii="方正仿宋_GB2312" w:hAnsi="方正仿宋_GB2312" w:eastAsia="方正仿宋_GB2312" w:cs="方正仿宋_GB2312"/>
          <w:color w:val="2B2B2B"/>
          <w:kern w:val="0"/>
          <w:sz w:val="32"/>
          <w:szCs w:val="32"/>
          <w:lang w:val="en-US" w:eastAsia="zh-CN" w:bidi="ar-SA"/>
        </w:rPr>
        <w:t>　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第九条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（一）截留、挪用国家建设资金；</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（二）以虚报、冒领、关联交易等手段骗取国家建设资金；</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（三）违反规定超概算投资；</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（四）虚列投资完成额；</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（五）其他违反国家投资建设项目有关规定的行为。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《中华人民共和国政府采购法》、《中华人民共和国招标投标法》、《国家重点建设项目管理办法》等法律、行政法规另有规定的，依照其规定处理、处罚。</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第十一条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第十二条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（一）以虚报、冒领等手段骗取政府承贷或者担保的外国政府贷款、国际金融组织贷款；</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（二）滞留政府承贷或者担保的外国政府贷款、国际金融组织贷款；</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（三）截留、挪用政府承贷或者担保的外国政府贷款、国际金融组织贷款；</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（四）其他违反规定使用、骗取政府承贷或者担保的外国政府贷款、国际金融组织贷款的行为。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第十三条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（一）隐瞒应当上缴的财政收入；</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（二）截留代收的财政收入；</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（三）其他不缴或者少缴财政收入的行为。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属于税收方面的违法行为，依照有关税收法律、行政法规的规定处理、处罚。</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第十四条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（一）以虚报、冒领等手段骗取财政资金以及政府承贷或者担保的外国政府贷款、国际金融组织贷款；</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（二）挪用财政资金以及政府承贷或者担保的外国政府贷款、国际金融组织贷款；</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（三）从无偿使用的财政资金以及政府承贷或者担保的外国政府贷款、国际金融组织贷款中非法获益；</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（四）其他违反规定使用、骗取财政资金以及政府承贷或者担保的外国政府贷款、国际金融组织贷款的行为。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属于政府采购方面的违法行为，依照《中华人民共和国政府采购法》及有关法律、行政法规的规定处理、处罚。</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第十五条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事业单位、社会团体、其他社会组织及其工作人员有财政违法行为的，依照本条例有关国家机关的规定执行；但其在经营活动中的财政违法行为，依照本条例第十三条、第十四条的规定执行。</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第十六条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（一）违反规定印制财政收入票据；</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（二）转借、串用、代开财政收入票据；</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（三）伪造、变造、买卖、擅自销毁财政收入票据；</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（四）伪造、使用伪造的财政收入票据监（印）制章；</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（五）其他违反财政收入票据管理规定的行为。</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属于税收收入票据管理方面的违法行为，依照有关税收法律、行政法规的规定处理、处罚。</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第十七条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第十八条　</w:t>
      </w:r>
      <w:r>
        <w:rPr>
          <w:rFonts w:hint="eastAsia" w:ascii="方正仿宋_GB2312" w:hAnsi="方正仿宋_GB2312" w:eastAsia="方正仿宋_GB2312" w:cs="方正仿宋_GB2312"/>
          <w:color w:val="2B2B2B"/>
          <w:kern w:val="0"/>
          <w:sz w:val="32"/>
          <w:szCs w:val="32"/>
          <w:lang w:val="en-US" w:eastAsia="zh-CN" w:bidi="ar-SA"/>
        </w:rPr>
        <w:t>属于会计方面的违法行为，依照会计方面的法律、行政法规的规定处理、处罚。对其直接负责的主管人员和其他直接责任人员，属于国家公务员的，还应当给予警告、记过或者记大过处分；情节较重的，给予降级或者撤职处分；情节严重的，给予开除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第十九条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属于行政性收费方面的违法行为，《中华人民共和国行政许可法》、《违反行政事业性收费和罚没收入收支两条线管理规定行政处分暂行规定》等法律、行政法规及国务院另有规定的，有关部门依照其规定处理、处罚、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单位和个人有本条例规定的财政违法行为，构成犯罪的，依法追究刑事责任。</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第二十一条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财政部门、审计机关、监察机关依法进行调查或者检查时，被调查、检查的单位和个人应当予以配合，如实反映情况，不得拒绝、阻挠、拖延。</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违反前款规定的，责令限期改正。逾期不改正的，对属于国家公务员的直接负责的主管人员和其他直接责任人员，给予警告、记过或者记大过处分；情节严重的，给予降级或者撤职处分。</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第二十二条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财政部门、审计机关、监察机关依法进行调查或者检查时，经县级以上人民政府财政部门、审计机关、监察机关的负责人批准，可以向与被调查、检查单位有经济业务往来的单位查询有关情况，可以向金融机构查询被调查、检查单位的存款，有关单位和金融机构应当配合。</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财政部门、审计机关、监察机关在依法进行调查或者检查时，执法人员不得少于2人，并应当向当事人或者有关人员出示证件；查询存款时，还应当持有县级以上人民政府财政部门、审计机关、监察机关签发的查询存款通知书，并负有保密义务。</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第二十三条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财政部门、审计机关、监察机关依法进行调查或者检查时，在有关证据可能灭失或者以后难以取得的情况下，经县级以上人民政府财政部门、审计机关、监察机关的负责人批准，可以先行登记保存，并应当在7日内及时作出处理决定。在此期间，当事人或者有关人员不得销毁或者转移证据。</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第二十四条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第二十五条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依照本条例规定限期退还的违法所得，到期无法退还的，应当收缴国库。</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第二十六条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单位和个人有本条例所列财政违法行为，财政部门、审计机关、监察机关可以公告其财政违法行为及处理、处罚、处分决定。</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第二十七条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单位和个人有本条例所列财政违法行为，弄虚作假骗取荣誉称号及其他有关奖励的，应当撤销其荣誉称号并收回有关奖励。</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第二十八条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财政部门、审计机关、监察机关的工作人员滥用职权、玩忽职守、徇私舞弊的，给予警告、记过或者记大过处分；情节较重的，给予降级或者撤职处分；情节严重的，给予开除处分。构成犯罪的，依法追究刑事责任。</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第二十九条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财政部门、审计机关、监察机关及其他有关监督检查机关对有关单位或者个人依法进行调查、检查后，应当出具调查、检查结论。有关监督检查机关已经作出的调查、检查结论能够满足其他监督检查机关履行本机关职责需要的，其他监督检查机关应当加以利用。</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财政部门、审计机关、监察机关及其他有关机关应当加强配合，对不属于其职权范围的事项，应当依法移送。受移送机关应当及时处理，并将结果书面告知移送机关。</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第三十一条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对财政违法行为作出处理、处罚和处分决定的程序，依照本条例和《中华人民共和国行政处罚法》、《中华人民共和国行政监察法》等有关法律、行政法规的规定执行。</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第三十二条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单位和个人对处理、处罚不服的，依照《中华人民共和国行政复议法》、《中华人民共和国行政诉讼法》的规定申请复议或者提起诉讼。</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仿宋_GB2312" w:hAnsi="方正仿宋_GB2312" w:eastAsia="方正仿宋_GB2312" w:cs="方正仿宋_GB2312"/>
          <w:color w:val="2B2B2B"/>
          <w:kern w:val="0"/>
          <w:sz w:val="32"/>
          <w:szCs w:val="32"/>
          <w:lang w:val="en-US" w:eastAsia="zh-CN" w:bidi="ar-SA"/>
        </w:rPr>
        <w:t>国家公务员对行政处分不服的，依照《中华人民共和国行政监察法》、《中华人民共和国公务员法》等法律、行政法规的规定提出申诉。</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第三十三条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本条例所称“财政收入执收单位”，是指负责收取税收收入和各种非税收入的单位。</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第三十四条</w:t>
      </w:r>
      <w:r>
        <w:rPr>
          <w:rFonts w:hint="eastAsia" w:ascii="宋体" w:hAnsi="宋体" w:cs="宋体"/>
          <w:color w:val="000000"/>
          <w:kern w:val="0"/>
          <w:sz w:val="28"/>
          <w:szCs w:val="28"/>
        </w:rPr>
        <w:t>　</w:t>
      </w:r>
      <w:r>
        <w:rPr>
          <w:rFonts w:hint="eastAsia" w:ascii="方正仿宋_GB2312" w:hAnsi="方正仿宋_GB2312" w:eastAsia="方正仿宋_GB2312" w:cs="方正仿宋_GB2312"/>
          <w:color w:val="2B2B2B"/>
          <w:kern w:val="0"/>
          <w:sz w:val="32"/>
          <w:szCs w:val="32"/>
          <w:lang w:val="en-US" w:eastAsia="zh-CN" w:bidi="ar-SA"/>
        </w:rPr>
        <w:t>对法律、法规授权的具有管理公共事务职能的组织以及国家行政机关依法委托的组织及其工勤人员以外的工作人员，企业、事业单位、社会团体中由国家行政机关以委任、派遣等形式任命的人员以及其他人员有本条例规定的财政违法行为，需要给予处分的，参照本条例有关规定执行。</w:t>
      </w:r>
    </w:p>
    <w:p>
      <w:pPr>
        <w:widowControl/>
        <w:spacing w:line="432" w:lineRule="auto"/>
        <w:ind w:firstLine="450"/>
        <w:jc w:val="left"/>
        <w:rPr>
          <w:rFonts w:hint="eastAsia" w:ascii="方正仿宋_GB2312" w:hAnsi="方正仿宋_GB2312" w:eastAsia="方正仿宋_GB2312" w:cs="方正仿宋_GB2312"/>
          <w:color w:val="2B2B2B"/>
          <w:kern w:val="0"/>
          <w:sz w:val="32"/>
          <w:szCs w:val="32"/>
          <w:lang w:val="en-US" w:eastAsia="zh-CN" w:bidi="ar-SA"/>
        </w:rPr>
      </w:pPr>
      <w:r>
        <w:rPr>
          <w:rFonts w:hint="eastAsia" w:ascii="方正楷体_GB2312" w:hAnsi="方正楷体_GB2312" w:eastAsia="方正楷体_GB2312" w:cs="方正楷体_GB2312"/>
          <w:color w:val="2B2B2B"/>
          <w:kern w:val="0"/>
          <w:sz w:val="32"/>
          <w:szCs w:val="32"/>
          <w:lang w:val="en-US" w:eastAsia="zh-CN" w:bidi="ar-SA"/>
        </w:rPr>
        <w:t>第三十五条</w:t>
      </w:r>
      <w:r>
        <w:rPr>
          <w:rFonts w:hint="eastAsia" w:ascii="方正仿宋_GB2312" w:hAnsi="方正仿宋_GB2312" w:eastAsia="方正仿宋_GB2312" w:cs="方正仿宋_GB2312"/>
          <w:color w:val="2B2B2B"/>
          <w:kern w:val="0"/>
          <w:sz w:val="32"/>
          <w:szCs w:val="32"/>
          <w:lang w:val="en-US" w:eastAsia="zh-CN" w:bidi="ar-SA"/>
        </w:rPr>
        <w:t>　本</w:t>
      </w:r>
      <w:r>
        <w:rPr>
          <w:rFonts w:hint="eastAsia" w:ascii="方正仿宋_GB2312" w:hAnsi="方正仿宋_GB2312" w:eastAsia="方正仿宋_GB2312" w:cs="方正仿宋_GB2312"/>
          <w:color w:val="2B2B2B"/>
          <w:kern w:val="0"/>
          <w:sz w:val="32"/>
          <w:szCs w:val="32"/>
          <w:lang w:val="en-US" w:eastAsia="zh-CN" w:bidi="ar-SA"/>
        </w:rPr>
        <w:t>条例自2005年2月1日起施行。1987年6月16日国务院发布的《国务院关于违反财政法规处罚的暂行规定》同时废止。</w:t>
      </w:r>
    </w:p>
    <w:p>
      <w:pPr>
        <w:rPr>
          <w:rFonts w:hint="eastAsia" w:ascii="宋体" w:hAnsi="宋体"/>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152317-7379-46E4-9FC6-BE4E418F01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kaiti_gb2312">
    <w:altName w:val="Times New Roman"/>
    <w:panose1 w:val="00000000000000000000"/>
    <w:charset w:val="00"/>
    <w:family w:val="roman"/>
    <w:pitch w:val="default"/>
    <w:sig w:usb0="00000003" w:usb1="00000000" w:usb2="00000000" w:usb3="00000000" w:csb0="00000001" w:csb1="00000000"/>
  </w:font>
  <w:font w:name="fangsong_gb2312">
    <w:altName w:val="Times New Roman"/>
    <w:panose1 w:val="00000000000000000000"/>
    <w:charset w:val="00"/>
    <w:family w:val="roman"/>
    <w:pitch w:val="default"/>
    <w:sig w:usb0="00000003" w:usb1="00000000" w:usb2="00000000" w:usb3="00000000" w:csb0="00000001" w:csb1="00000000"/>
    <w:embedRegular r:id="rId2" w:fontKey="{88FCB10A-AED0-4CFD-AAB8-21252BC54B95}"/>
  </w:font>
  <w:font w:name="Courier New">
    <w:panose1 w:val="02070309020205020404"/>
    <w:charset w:val="00"/>
    <w:family w:val="modern"/>
    <w:pitch w:val="default"/>
    <w:sig w:usb0="E0002AFF" w:usb1="C0007843" w:usb2="00000009" w:usb3="00000000" w:csb0="400001FF" w:csb1="FFFF0000"/>
    <w:embedRegular r:id="rId3" w:fontKey="{558A545D-C627-478A-B54C-8E463AF2264C}"/>
  </w:font>
  <w:font w:name="方正小标宋简体">
    <w:altName w:val="方正小标宋简体"/>
    <w:panose1 w:val="03000509000000000000"/>
    <w:charset w:val="86"/>
    <w:family w:val="script"/>
    <w:pitch w:val="default"/>
    <w:sig w:usb0="00000001" w:usb1="080E0000" w:usb2="00000010" w:usb3="00000000" w:csb0="00040000" w:csb1="00000000"/>
    <w:embedRegular r:id="rId4" w:fontKey="{82070C52-B1F1-47D0-B200-D901B82A93AB}"/>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方正楷体_GB2312">
    <w:altName w:val="方正楷体_GB2312"/>
    <w:panose1 w:val="02000000000000000000"/>
    <w:charset w:val="86"/>
    <w:family w:val="auto"/>
    <w:pitch w:val="default"/>
    <w:sig w:usb0="A00002BF" w:usb1="184F6CFA" w:usb2="00000012" w:usb3="00000000" w:csb0="00040001" w:csb1="00000000"/>
    <w:embedRegular r:id="rId5" w:fontKey="{A778CABE-ECB4-48F8-820D-A11E9517D5E7}"/>
  </w:font>
  <w:font w:name="方正仿宋_GB2312">
    <w:altName w:val="方正仿宋_GB2312"/>
    <w:panose1 w:val="02000000000000000000"/>
    <w:charset w:val="86"/>
    <w:family w:val="auto"/>
    <w:pitch w:val="default"/>
    <w:sig w:usb0="A00002BF" w:usb1="184F6CFA" w:usb2="00000012" w:usb3="00000000" w:csb0="00040001" w:csb1="00000000"/>
    <w:embedRegular r:id="rId6" w:fontKey="{691D8688-3737-4374-BB66-2732547E51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lang/>
      </w:rPr>
      <w:t>1</w:t>
    </w:r>
    <w:r>
      <w:rPr>
        <w:rStyle w:val="1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lang/>
      </w:rPr>
      <w:t>38</w:t>
    </w:r>
    <w:r>
      <w:rPr>
        <w:rStyle w:val="14"/>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E75F6"/>
    <w:multiLevelType w:val="multilevel"/>
    <w:tmpl w:val="096E75F6"/>
    <w:lvl w:ilvl="0" w:tentative="0">
      <w:start w:val="1"/>
      <w:numFmt w:val="japaneseCounting"/>
      <w:lvlText w:val="（%1）"/>
      <w:lvlJc w:val="left"/>
      <w:pPr>
        <w:tabs>
          <w:tab w:val="left" w:pos="720"/>
        </w:tabs>
        <w:ind w:left="720" w:hanging="720"/>
      </w:pPr>
      <w:rPr>
        <w:rFonts w:hint="eastAsia" w:ascii="方正仿宋_GB2312" w:hAnsi="方正仿宋_GB2312" w:eastAsia="方正仿宋_GB2312" w:cs="方正仿宋_GB2312"/>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D86505"/>
    <w:multiLevelType w:val="multilevel"/>
    <w:tmpl w:val="10D86505"/>
    <w:lvl w:ilvl="0" w:tentative="0">
      <w:start w:val="1"/>
      <w:numFmt w:val="japaneseCounting"/>
      <w:lvlText w:val="第%1条"/>
      <w:lvlJc w:val="left"/>
      <w:pPr>
        <w:tabs>
          <w:tab w:val="left" w:pos="750"/>
        </w:tabs>
        <w:ind w:left="750" w:hanging="750"/>
      </w:pPr>
      <w:rPr>
        <w:rFonts w:hint="eastAsia" w:ascii="方正楷体_GB2312" w:hAnsi="方正楷体_GB2312" w:eastAsia="方正楷体_GB2312" w:cs="方正楷体_GB2312"/>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8785BA9"/>
    <w:multiLevelType w:val="multilevel"/>
    <w:tmpl w:val="48785BA9"/>
    <w:lvl w:ilvl="0" w:tentative="0">
      <w:start w:val="1"/>
      <w:numFmt w:val="japaneseCounting"/>
      <w:lvlText w:val="（%1）"/>
      <w:lvlJc w:val="left"/>
      <w:pPr>
        <w:tabs>
          <w:tab w:val="left" w:pos="1415"/>
        </w:tabs>
        <w:ind w:left="1415" w:hanging="855"/>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OWU0OTM2NTgyN2E5MzY5NmU2YTJkMTcyNDBhZjEifQ=="/>
  </w:docVars>
  <w:rsids>
    <w:rsidRoot w:val="005D0D7D"/>
    <w:rsid w:val="00014AF5"/>
    <w:rsid w:val="00017AF7"/>
    <w:rsid w:val="00050BB0"/>
    <w:rsid w:val="00087950"/>
    <w:rsid w:val="000A0FD0"/>
    <w:rsid w:val="000A1E41"/>
    <w:rsid w:val="000C19C9"/>
    <w:rsid w:val="000D2C68"/>
    <w:rsid w:val="000D3CF9"/>
    <w:rsid w:val="000E5D0D"/>
    <w:rsid w:val="001072FD"/>
    <w:rsid w:val="0011118C"/>
    <w:rsid w:val="00146F25"/>
    <w:rsid w:val="0015736C"/>
    <w:rsid w:val="00162124"/>
    <w:rsid w:val="00163EF7"/>
    <w:rsid w:val="001759FE"/>
    <w:rsid w:val="00176B55"/>
    <w:rsid w:val="001826AD"/>
    <w:rsid w:val="00194037"/>
    <w:rsid w:val="001B2BD9"/>
    <w:rsid w:val="001B5DCE"/>
    <w:rsid w:val="001C2047"/>
    <w:rsid w:val="001C6CB1"/>
    <w:rsid w:val="001E08E0"/>
    <w:rsid w:val="001F41ED"/>
    <w:rsid w:val="002202EF"/>
    <w:rsid w:val="002205EC"/>
    <w:rsid w:val="0022242E"/>
    <w:rsid w:val="002340FB"/>
    <w:rsid w:val="00262FE9"/>
    <w:rsid w:val="0027208F"/>
    <w:rsid w:val="002A04CF"/>
    <w:rsid w:val="002C4893"/>
    <w:rsid w:val="002D6CAC"/>
    <w:rsid w:val="002E294A"/>
    <w:rsid w:val="00313371"/>
    <w:rsid w:val="00314B31"/>
    <w:rsid w:val="003179CC"/>
    <w:rsid w:val="00324FB2"/>
    <w:rsid w:val="003527BB"/>
    <w:rsid w:val="00360AB3"/>
    <w:rsid w:val="00392151"/>
    <w:rsid w:val="00394F99"/>
    <w:rsid w:val="003A0F2E"/>
    <w:rsid w:val="003A6EEA"/>
    <w:rsid w:val="003B578D"/>
    <w:rsid w:val="003D68C6"/>
    <w:rsid w:val="003E1891"/>
    <w:rsid w:val="003E6473"/>
    <w:rsid w:val="003F6758"/>
    <w:rsid w:val="00427B51"/>
    <w:rsid w:val="00433143"/>
    <w:rsid w:val="00446A70"/>
    <w:rsid w:val="004527FE"/>
    <w:rsid w:val="00456269"/>
    <w:rsid w:val="00465374"/>
    <w:rsid w:val="004865E0"/>
    <w:rsid w:val="004919C2"/>
    <w:rsid w:val="0049503E"/>
    <w:rsid w:val="004A7D5D"/>
    <w:rsid w:val="004D282B"/>
    <w:rsid w:val="004D5FCD"/>
    <w:rsid w:val="004D7D9B"/>
    <w:rsid w:val="00527F6A"/>
    <w:rsid w:val="00535F90"/>
    <w:rsid w:val="005506A8"/>
    <w:rsid w:val="00553FBE"/>
    <w:rsid w:val="00562386"/>
    <w:rsid w:val="005660FF"/>
    <w:rsid w:val="005767CC"/>
    <w:rsid w:val="0059059E"/>
    <w:rsid w:val="005913D7"/>
    <w:rsid w:val="005C0BA2"/>
    <w:rsid w:val="005D0D7D"/>
    <w:rsid w:val="005F41DB"/>
    <w:rsid w:val="005F7CA4"/>
    <w:rsid w:val="00631CB2"/>
    <w:rsid w:val="00640D74"/>
    <w:rsid w:val="00647F59"/>
    <w:rsid w:val="00655A58"/>
    <w:rsid w:val="00666336"/>
    <w:rsid w:val="00685742"/>
    <w:rsid w:val="00691F35"/>
    <w:rsid w:val="00692B7C"/>
    <w:rsid w:val="006B4143"/>
    <w:rsid w:val="006C4DA5"/>
    <w:rsid w:val="006D2A6B"/>
    <w:rsid w:val="006D6049"/>
    <w:rsid w:val="006E632F"/>
    <w:rsid w:val="006F454E"/>
    <w:rsid w:val="00717509"/>
    <w:rsid w:val="0072018F"/>
    <w:rsid w:val="00727998"/>
    <w:rsid w:val="00747F26"/>
    <w:rsid w:val="00765D0B"/>
    <w:rsid w:val="0079533F"/>
    <w:rsid w:val="007A0033"/>
    <w:rsid w:val="007A0E6E"/>
    <w:rsid w:val="007A30FD"/>
    <w:rsid w:val="007F3A22"/>
    <w:rsid w:val="007F601E"/>
    <w:rsid w:val="00816C0F"/>
    <w:rsid w:val="00841717"/>
    <w:rsid w:val="00842985"/>
    <w:rsid w:val="0087292B"/>
    <w:rsid w:val="00880092"/>
    <w:rsid w:val="00885CFD"/>
    <w:rsid w:val="008A5369"/>
    <w:rsid w:val="008C4706"/>
    <w:rsid w:val="008C4EBC"/>
    <w:rsid w:val="008F1A18"/>
    <w:rsid w:val="00936C0D"/>
    <w:rsid w:val="009401AF"/>
    <w:rsid w:val="00941501"/>
    <w:rsid w:val="0096008C"/>
    <w:rsid w:val="00971993"/>
    <w:rsid w:val="00996EBD"/>
    <w:rsid w:val="009A18B9"/>
    <w:rsid w:val="009B02C9"/>
    <w:rsid w:val="009E6C3E"/>
    <w:rsid w:val="009F18DA"/>
    <w:rsid w:val="00A074E8"/>
    <w:rsid w:val="00A309FF"/>
    <w:rsid w:val="00A507EA"/>
    <w:rsid w:val="00A527A9"/>
    <w:rsid w:val="00A54956"/>
    <w:rsid w:val="00A60B84"/>
    <w:rsid w:val="00A66988"/>
    <w:rsid w:val="00A801E6"/>
    <w:rsid w:val="00A80921"/>
    <w:rsid w:val="00A82D62"/>
    <w:rsid w:val="00A955CB"/>
    <w:rsid w:val="00AB5859"/>
    <w:rsid w:val="00AC1DB6"/>
    <w:rsid w:val="00AF220B"/>
    <w:rsid w:val="00B034D7"/>
    <w:rsid w:val="00B43ABE"/>
    <w:rsid w:val="00B47A45"/>
    <w:rsid w:val="00B568FB"/>
    <w:rsid w:val="00B72D21"/>
    <w:rsid w:val="00B93817"/>
    <w:rsid w:val="00BA47B0"/>
    <w:rsid w:val="00BB2F6D"/>
    <w:rsid w:val="00BC307E"/>
    <w:rsid w:val="00C00102"/>
    <w:rsid w:val="00C42D77"/>
    <w:rsid w:val="00C473DD"/>
    <w:rsid w:val="00C5277D"/>
    <w:rsid w:val="00C6223A"/>
    <w:rsid w:val="00C653AC"/>
    <w:rsid w:val="00C73A4D"/>
    <w:rsid w:val="00C73EEF"/>
    <w:rsid w:val="00C801CC"/>
    <w:rsid w:val="00C82CE8"/>
    <w:rsid w:val="00C87640"/>
    <w:rsid w:val="00CE0124"/>
    <w:rsid w:val="00CE1365"/>
    <w:rsid w:val="00CE53AF"/>
    <w:rsid w:val="00CE6183"/>
    <w:rsid w:val="00CF2793"/>
    <w:rsid w:val="00CF772C"/>
    <w:rsid w:val="00D215C5"/>
    <w:rsid w:val="00D57E1D"/>
    <w:rsid w:val="00D62D31"/>
    <w:rsid w:val="00D74EEF"/>
    <w:rsid w:val="00D850CB"/>
    <w:rsid w:val="00D86F79"/>
    <w:rsid w:val="00DD0888"/>
    <w:rsid w:val="00DE1A3C"/>
    <w:rsid w:val="00E00E24"/>
    <w:rsid w:val="00E01E08"/>
    <w:rsid w:val="00E17C90"/>
    <w:rsid w:val="00E22C62"/>
    <w:rsid w:val="00E31412"/>
    <w:rsid w:val="00E50FFC"/>
    <w:rsid w:val="00E518AD"/>
    <w:rsid w:val="00E61A03"/>
    <w:rsid w:val="00E630E8"/>
    <w:rsid w:val="00E6319E"/>
    <w:rsid w:val="00E7439E"/>
    <w:rsid w:val="00E80205"/>
    <w:rsid w:val="00E970BF"/>
    <w:rsid w:val="00EA076C"/>
    <w:rsid w:val="00ED4051"/>
    <w:rsid w:val="00EE48DD"/>
    <w:rsid w:val="00EE6BF9"/>
    <w:rsid w:val="00EE7434"/>
    <w:rsid w:val="00F10999"/>
    <w:rsid w:val="00F51769"/>
    <w:rsid w:val="00F72DD9"/>
    <w:rsid w:val="00F91ABA"/>
    <w:rsid w:val="00F95D51"/>
    <w:rsid w:val="00FA3319"/>
    <w:rsid w:val="00FC557D"/>
    <w:rsid w:val="00FE14AD"/>
    <w:rsid w:val="00FE3F2B"/>
    <w:rsid w:val="00FF76E7"/>
    <w:rsid w:val="34AC0204"/>
    <w:rsid w:val="401E54B1"/>
    <w:rsid w:val="47767A51"/>
    <w:rsid w:val="59FE4ED1"/>
    <w:rsid w:val="74B231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3"/>
    <w:basedOn w:val="1"/>
    <w:uiPriority w:val="0"/>
    <w:pPr>
      <w:widowControl/>
      <w:spacing w:before="100" w:beforeAutospacing="1" w:after="100" w:afterAutospacing="1"/>
      <w:jc w:val="left"/>
      <w:outlineLvl w:val="2"/>
    </w:pPr>
    <w:rPr>
      <w:rFonts w:ascii="宋体" w:hAnsi="宋体"/>
      <w:b/>
      <w:bCs/>
      <w:kern w:val="0"/>
      <w:sz w:val="27"/>
      <w:szCs w:val="27"/>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3">
    <w:name w:val="Body Text Indent"/>
    <w:basedOn w:val="1"/>
    <w:uiPriority w:val="0"/>
    <w:pPr>
      <w:widowControl/>
      <w:spacing w:line="440" w:lineRule="exact"/>
      <w:ind w:right="-82" w:firstLine="600" w:firstLineChars="200"/>
    </w:pPr>
    <w:rPr>
      <w:rFonts w:ascii="仿宋_GB2312" w:eastAsia="仿宋_GB2312"/>
      <w:sz w:val="30"/>
      <w:szCs w:val="30"/>
    </w:rPr>
  </w:style>
  <w:style w:type="paragraph" w:styleId="4">
    <w:name w:val="Date"/>
    <w:basedOn w:val="1"/>
    <w:next w:val="1"/>
    <w:uiPriority w:val="0"/>
    <w:pPr>
      <w:ind w:left="100" w:leftChars="2500"/>
    </w:pPr>
  </w:style>
  <w:style w:type="paragraph" w:styleId="5">
    <w:name w:val="Body Text Indent 2"/>
    <w:basedOn w:val="1"/>
    <w:uiPriority w:val="0"/>
    <w:pPr>
      <w:widowControl/>
      <w:spacing w:line="440" w:lineRule="exact"/>
      <w:ind w:right="-82" w:firstLine="720" w:firstLineChars="240"/>
    </w:pPr>
    <w:rPr>
      <w:rFonts w:ascii="仿宋_GB2312" w:eastAsia="仿宋_GB2312"/>
      <w:sz w:val="30"/>
      <w:szCs w:val="30"/>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uiPriority w:val="0"/>
    <w:rPr>
      <w:b/>
      <w:bCs/>
    </w:rPr>
  </w:style>
  <w:style w:type="character" w:styleId="14">
    <w:name w:val="page number"/>
    <w:basedOn w:val="12"/>
    <w:uiPriority w:val="0"/>
  </w:style>
  <w:style w:type="character" w:customStyle="1" w:styleId="15">
    <w:name w:val="floattitle"/>
    <w:basedOn w:val="12"/>
    <w:uiPriority w:val="0"/>
  </w:style>
  <w:style w:type="paragraph" w:customStyle="1" w:styleId="16">
    <w:name w:val="Char"/>
    <w:basedOn w:val="1"/>
    <w:uiPriority w:val="0"/>
    <w:pPr>
      <w:tabs>
        <w:tab w:val="left" w:pos="360"/>
      </w:tabs>
    </w:pPr>
    <w:rPr>
      <w:sz w:val="24"/>
    </w:rPr>
  </w:style>
  <w:style w:type="paragraph" w:customStyle="1" w:styleId="17">
    <w:name w:val="reader-word-layer reader-word-s4-11"/>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107</Pages>
  <Words>47472</Words>
  <Characters>50424</Characters>
  <Lines>402</Lines>
  <Paragraphs>113</Paragraphs>
  <TotalTime>21</TotalTime>
  <ScaleCrop>false</ScaleCrop>
  <LinksUpToDate>false</LinksUpToDate>
  <CharactersWithSpaces>51797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2014-09-16T07:27:00Z</dcterms:created>
  <dc:creator>微软用户</dc:creator>
  <cp:lastModifiedBy>渔樵</cp:lastModifiedBy>
  <cp:lastPrinted>2014-03-04T03:34:00Z</cp:lastPrinted>
  <dcterms:modified xsi:type="dcterms:W3CDTF">2022-09-28T02:37:47Z</dcterms:modified>
  <dc:title>鲁财行〔2014〕4号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A19D1EBF549C451F8DB6BB662209FCF5</vt:lpwstr>
  </property>
</Properties>
</file>